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6B_307/2020 vom 9. Juli 2020</w:t>
      </w:r>
    </w:p>
    <w:p>
      <w:r>
        <w:t>Bundesgericht, 2020-07-09, FR</w:t>
      </w:r>
    </w:p>
    <w:p>
      <w:r>
        <w:rPr>
          <w:b/>
        </w:rPr>
        <w:t xml:space="preserve">Quelle: </w:t>
      </w:r>
      <w:r>
        <w:t>https://mcp.opencaselaw.ch/entscheid/bger_6B_307_2020</w:t>
      </w:r>
    </w:p>
    <w:p>
      <w:r>
        <w:t>FR: TF 6B_307/2020 du 9 juillet 2020</w:t>
      </w:r>
    </w:p>
    <w:p>
      <w:r>
        <w:t>IT: TF 6B_307/2020 del 9 luglio 2020</w:t>
      </w:r>
    </w:p>
    <w:p>
      <w:pPr>
        <w:pStyle w:val="Heading2"/>
      </w:pPr>
      <w:r>
        <w:t>Erwägungen</w:t>
      </w:r>
    </w:p>
    <w:p>
      <w:r>
        <w:rPr>
          <w:b/>
        </w:rPr>
        <w:t>E. 1</w:t>
      </w:r>
    </w:p>
    <w:p>
      <w:r>
        <w:t>Le recourant reproche à la cour cantonale d'avoir confirmé le refus d'entrer en matière sur sa plainte pénale.</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1.2</w:t>
      </w:r>
    </w:p>
    <w:p>
      <w:r>
        <w:t>Le recourant se contente d'affirmer que la décision entreprise aura un impact sur les prétentions civiles qu'il entend élever à l'encontre des personnes qu'il dénonce. Il évoque une prétention pour tort moral du fait que son image d'avocat serait ternie par les démarches entreprises par ceux qu'il dénonce. Le recourant ne tente d'aucune manière de justifier ses prétentions, qu'il ne chiffre au demeurant pas. Il n'étaye aucunement ses simples affirmations, lesquelles ne sont pas suffisantes eu égard aux exigences de motivation découlant de l' art. 42 al. 1 LTF . En outre, elles ne permettent pas de comprendre en quoi l'atteinte subie atteindrait la gravité objective et subjective que la jurisprudence exige pour l'allocation d'une indemnité pour tort moral (cf. art. 49 CO ; ATF 131 III 26 consid. 12.1 p. 29; arrêt 6B_709/2020 du 18 juin 2020 consid. 2.1), ni en quoi le comportement dénoncé en serait la cause. L'absence d'explications suffisantes sur la question des prétentions civiles exclut sa qualité pour recourir sur le fond de la cause.</w:t>
      </w:r>
    </w:p>
    <w:p>
      <w:r>
        <w:rPr>
          <w:b/>
        </w:rPr>
        <w:t>E. 1.3</w:t>
      </w:r>
    </w:p>
    <w:p>
      <w:r>
        <w:t>L'hypothèse visée à l'art. 81 al. 1 let. b ch. 6 LTF n'entre pas en considération, le recourant ne soulevant aucun grief quant à son droit de porter plainte.</w:t>
      </w:r>
    </w:p>
    <w:p>
      <w:r>
        <w:rPr>
          <w:b/>
        </w:rPr>
        <w:t>E. 1.4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w:t>
      </w:r>
    </w:p>
    <w:p>
      <w:r>
        <w:t>Le recourant affirme que le Tribunal cantonal a</w:t>
      </w:r>
    </w:p>
    <w:p>
      <w:r>
        <w:t>"occulté" l'infraction de diffamation, laquelle ressortait de sa dénonciation pénale. Pour autant que le recourant entende en déduire une éventuelle violation de son droit d'être entendu, respectivement un déni de justice, il est douteux que sa critique remplisse les exigences de motivation accrues de l' art. 106 al. 2 LTF . En tout état, le recourant ne prétend pas avoir développé de critique relative à l'infraction de diffamation devant l'autorité précédente. Cette écriture porte uniquement sur l'infraction de tentative de contrainte et le recourant y conclut à l'ouverture d'une instruction pénale</w:t>
      </w:r>
    </w:p>
    <w:p>
      <w:r>
        <w:t>"en raison du chef de prévention de contrainte au sens de l' art. 181 CP " , exclusivement (mémoire de recours cantonal du 11 décembre 2019, pce 210-216). Aussi, il ne saurait être reproché à la cour cantonale d'avoir omis de se prononcer sur l'infraction de diffamation.</w:t>
      </w:r>
    </w:p>
    <w:p>
      <w:r>
        <w:t>En outre, le recourant reproche à la cour cantonale d'avoir tenu un raisonnement insoutenable en excluant une violation de son droit d'être entendu, alors qu'il n'aurait pas eu connaissance d'une attestation de l'assureur RC, sur laquelle il n'aurait pas pu se déterminer. La cour cantonale a relevé que le recourant avait eu l'occasion de faire valoir tous les griefs formels et matériels relatifs à ce document dans le cadre de la procédure de recours contre l'ordonnance de non-entrée en matière. Le recourant ne forme aucune critique circonstanciée dirigée contre la motivation cantonale topique et ne prétend pas avoir été privé de la possibilité de se déterminer sur le document de l'assureur RC dans le cadre de son recours. En tout état, il ne prétend pas qu'il s'agirait d'une pièce pertinente pour l'issue du litige. Son grief est irrecevable ( art. 106 al. 2 LTF ).</w:t>
      </w:r>
    </w:p>
    <w:p>
      <w:r>
        <w:rPr>
          <w:b/>
        </w:rPr>
        <w:t>E. 2</w:t>
      </w:r>
    </w:p>
    <w:p>
      <w:r>
        <w:t>Au vu de ce qui précède, le recours doit être rejeté dans la faible mesure de sa recevabilité.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