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305/2016 vom 3. August 2016</w:t>
      </w:r>
    </w:p>
    <w:p>
      <w:r>
        <w:t>Bundesgericht, 2016-08-03, DE</w:t>
      </w:r>
    </w:p>
    <w:p>
      <w:r>
        <w:rPr>
          <w:b/>
        </w:rPr>
        <w:t xml:space="preserve">Quelle: </w:t>
      </w:r>
      <w:r>
        <w:t>https://mcp.opencaselaw.ch/entscheid/bger_6B_305_2016</w:t>
      </w:r>
    </w:p>
    <w:p>
      <w:r>
        <w:t>FR: TF 6B 305/2016 du 3 août 2016</w:t>
      </w:r>
    </w:p>
    <w:p>
      <w:r>
        <w:t>IT: TF 6B 305/2016 del 3 agosto 2016</w:t>
      </w:r>
    </w:p>
    <w:p>
      <w:pPr>
        <w:pStyle w:val="Heading2"/>
      </w:pPr>
      <w:r>
        <w:t>Regeste</w:t>
      </w:r>
    </w:p>
    <w:p>
      <w:r>
        <w:t>Versuchte schwere Körperverletzung | Straftaten</w:t>
      </w:r>
    </w:p>
    <w:p>
      <w:pPr>
        <w:pStyle w:val="Heading2"/>
      </w:pPr>
      <w:r>
        <w:t>Erwägungen</w:t>
      </w:r>
    </w:p>
    <w:p>
      <w:r>
        <w:rPr>
          <w:b/>
        </w:rPr>
        <w:t>E. 1</w:t>
      </w:r>
    </w:p>
    <w:p>
      <w:r>
        <w:t>Oberstaatsanwaltschaft des Kantons Aargau, Frey-Herosé-Strasse 20, Wielandhaus, 5001 Aarau,</w:t>
      </w:r>
    </w:p>
    <w:p>
      <w:r>
        <w:rPr>
          <w:b/>
        </w:rPr>
        <w:t>E. 2</w:t>
      </w:r>
    </w:p>
    <w:p>
      <w:r>
        <w:t>Der Beschwerdeführer macht geltend, die Vorinstanz beziehe zu Unrecht nicht ein, dass der Beschwerdegegner in die Schlägerei eingewilligt (Rechtfertigungsgrund) habe. Ferner bemesse sie die Strafe unrichtig und wende Art. 42 f. sowie Art. 47 Abs. 2 StGB und Art. 44 OR falsch an (Beschwerde S. 4 ff.).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zum Begriff der Willkür BGE 140 III 16 E. 2.1; 139 III 334 E. 3.2.5; je mit Hinweisen). Eine entsprechende Rüge muss klar vorgebracht und substanziiert begründet werden. Auf eine rein appellatorische Kritik am angefochtenen Urteil tritt das Bundesgericht nicht ein (vgl. Art. 42 Abs. 2 und Art. 106 Abs. 2 BGG ; BGE 141 IV 249 E. 1.3.1 mit Hinweisen). Die Beschwerde in Strafsachen ist zu begründen. In der Begründung ist in gedrängter Form darzulegen, inwiefern der angefochtene Akt Recht im Sinne von Art. 95 BGG verletzt ( Art. 42 Abs. 1 und 2 BGG ). Auf die Beschwerde ist mangels hinreichender Begründung nicht einzutreten. Soweit der Beschwerdeführer Ausführungen zum Sachverhalt macht, legt er seine Sicht der Dinge dar, ohne Rügen zu erheben oder aufzuzeigen, dass und inwiefern die tatsächlichen Feststellungen der Vorinstanz willkürlich sein sollen. Darauf ist nicht einzutreten. Das ist beispielsweise der Fall, wenn er ergänzend zu bzw. abweichend von dem von der Vorinstanz erstellten Sachverhalt erörtert, er habe den Pfefferspray nicht grundlos eingesetzt bzw. diesen erst verwendet, als der Beschwerdegegner auf ihn zu gerannt sei (z.B. Beschwerde S. 7 Ziff. 19 und S. 9 Ziff. 27) oder wenn er vorbringt, die Vorinstanz lasse die stetige Vorwärtsbewegung des Beschwerdegegners bzw. die ständige Rückwärtsbewegung des Beschwerdeführers ausser Acht (Beschwerde S. 6 Ziff. 10 und S. 9 Ziff. 29). Inwieweit die Vorinstanz aufgrund der verbindlichen Sachverhaltsfeststellungen nicht zum Schluss kommen durfte, die Voraussetzungen einer wirksamen Einwilligung des Beschwerdegegners seien nicht gegeben (vgl. Urteil S. 25 E. 5.4 zweiter Absatz), inwieweit sie die Strafe unrichtig bemessen (Urteil S. 25 ff. E. 6) und Art. 44 OR (Urteil S. 33 f. E. 7) falsch angewendet hat, legt der Beschwerdeführer nicht dar. Die Rügen betreffend Strafzumessung und die geltend gemachte falsche Anwendung von Art. 44 OR begründet er - ausser mit dem Argument des für den Beschwerdegegner offensichtlich drohenden Angriffs mit einem Schlagstock - nicht. Darauf ist nicht einzutreten. Gleich verhält es sich hinsichtlich des Antrags betreffend Schriftensperre und Sicherheitsleistung (Beschwerde S. 9 f. Ziff. 7). Der Beschwerdeführer setzt sich nicht mit den diesbezüglichen Erwägungen der Vorinstanz auseinander (Urteil S. 34 E. 8).</w:t>
      </w:r>
    </w:p>
    <w:p>
      <w:r>
        <w:rPr>
          <w:b/>
        </w:rPr>
        <w:t>E. 3</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