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6B_303/2024 vom 12. Juni 2024</w:t>
      </w:r>
    </w:p>
    <w:p>
      <w:r>
        <w:t>Bundesgericht, 2024-06-12, DE</w:t>
      </w:r>
    </w:p>
    <w:p>
      <w:r>
        <w:rPr>
          <w:b/>
        </w:rPr>
        <w:t xml:space="preserve">Quelle: </w:t>
      </w:r>
      <w:r>
        <w:t>https://mcp.opencaselaw.ch/entscheid/bger_6B_303_2024</w:t>
      </w:r>
    </w:p>
    <w:p>
      <w:r>
        <w:t>FR: TF 6B_303/2024 du 12 juin 2024</w:t>
      </w:r>
    </w:p>
    <w:p>
      <w:r>
        <w:t>IT: TF 6B_303/2024 del 12 giugno 2024</w:t>
      </w:r>
    </w:p>
    <w:p>
      <w:pPr>
        <w:pStyle w:val="Heading2"/>
      </w:pPr>
      <w:r>
        <w:t>Erwägungen</w:t>
      </w:r>
    </w:p>
    <w:p>
      <w:r>
        <w:rPr>
          <w:b/>
        </w:rPr>
        <w:t>E. 1.1</w:t>
      </w:r>
    </w:p>
    <w:p>
      <w:r>
        <w:t>Der Beschwerdeführer reichte dem Bundesgericht am 21. Mai 2024 eine als "Zusätzliche Erklärung" betitelte Eingabe ein. Diese nach Ablauf der 30-tägigen Beschwerdefrist gemäss Art. 100 Abs. 1 BGG erfolgte Eingabe hat unbeachtet zu bleiben.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Beschwerdeführer wendet sich gegen die Landesverweisung.</w:t>
      </w:r>
    </w:p>
    <w:p>
      <w:r>
        <w:rPr>
          <w:b/>
        </w:rPr>
        <w:t>E. 2.1.1</w:t>
      </w:r>
    </w:p>
    <w:p>
      <w:r>
        <w:t>Der Beschwerdeführer hat sich der Freiheitsberaubung nach Art. 183 StGB schuldig gemacht. Dabei handelt sich um eine Katalogtat gemäss Art. 66a Abs. 1 lit. g StGB . Deshalb ist er unabhängig von der Höhe der Strafe grundsätzlich für 5 bis 15 Jahre aus der Schweiz zu verweisen. Die obligatorische Landesverweisung wegen einer Katalogtat greift grundsätzlich unabhängig von der konkreten Tatschwere ( BGE 146 IV 105 E. 3.4.1; 144 IV 332 E. 3.1.3 mit Hinweis). Sie ist unabhängig davon auszusprechen, ob es beim Versuch geblieben ist und ob die Strafe bedingt, unbedingt oder teilbedingt ausfällt ( BGE 146 IV 105 E. 3.4.1 mit Hinweisen; 144 IV 168 E. 1.4.1).</w:t>
      </w:r>
    </w:p>
    <w:p>
      <w:r>
        <w:rPr>
          <w:b/>
        </w:rPr>
        <w:t>E. 2.1.2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sogenannte Härtefallklausel). Die Härtefallklausel dient der Umsetzung des Verhältnismässigkeitsprinzips (vgl. Art. 5 Abs. 2 BV ; BGE 146 IV 105 E. 3.4.2; 144 IV 332 E. 3.1.2). Sie ist restriktiv anzuwenden ( BGE 146 IV 105 E. 3.4.2; 144 IV 332 E. 3.3.1 mit Hinweis).</w:t>
      </w:r>
    </w:p>
    <w:p>
      <w:r>
        <w:t>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Eine bestimmte Anwesenheitsdauer führt nicht automatisch zur Annahme eines Härtefalls. Zu berücksichtigen sind vielmehr und namentlich der Grad der (persönlichen und wirtschaftlichen) Integration, einschliesslich familiärer Bindungen des Ausländers in der Schweiz und der Heimat, die Aufenthaltsdauer und die Resozialisierungschancen ( BGE 146 IV 105 E. 3.4.4; Urteile 6B_362/2023 vom 21. Juni 2023 E. 2.1.2; 6B_166/2021 vom 8. September 2021 E. 3.3.2; 6B_81/2021 vom 10. Mai 2021 E. 8.3.2). Das Gericht darf auch vor dem Inkrafttreten von Art. 66a StGB begangene Straftaten berücksichtigen (vgl. BGE 144 IV 332 E. 3.3.2; Urteil 6B_587/2020 vom 12. Oktober 2020 E. 2.1.1;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Ebenso ist der Rückfallgefahr und wiederholten Delinquenz Rechnung zu tragen (Urteile 6B_362/2023 vom 21. Juni 2023 E. 2.1.2; 6B_166/2021 vom 8. September 2021 E. 3.3.2; 6B_1077/2020 vom 2. Juni 2021 E. 1.2.2; 6B_81/2021 vom 10. Mai 2021 E. 8.3.2; je mit Hinweisen).</w:t>
      </w:r>
    </w:p>
    <w:p>
      <w:r>
        <w:rPr>
          <w:b/>
        </w:rPr>
        <w:t>E. 2.1.3</w:t>
      </w:r>
    </w:p>
    <w:p>
      <w:r>
        <w:t>Von einem schweren persönlichen Härtefall ist in der Regel bei einem Eingriff von einer gewissen Tragweite in den Anspruch des Ausländers auf das in Art. 13 BV und Art. 8 EMRK verankerte Recht auf Achtung des Privat- und Familienlebens auszugehen (Urteile 6B_362/2023 vom 21. Juni 2023 E. 2.1.3; 6B_1077/2020 vom 2. Juni 2021 E. 1.2.3; 6B_568/2020 vom 13. April 2021 E. 5.3.4; 6B_1178/2019 vom 10. März 2021 E. 3.2.5, nicht publ. in: BGE 147 IV 340 ; je mit Hinweisen). Das durch Art. 13 BV und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und zumutbar wäre, ihr Familienleben andernorts zu pflegen ( BGE 144 I 266 E. 3.3; 144 II 1 E. 6.1; je mit Hinweisen). Zum geschützten Familienkreis gehört in erster Linie die Kernfamilie, das heisst die Gemeinschaft der Ehegatten mit ihren minderjährigen Kindern ( BGE 145 I 227 E. 5.3; 144 II 1 E. 6.1; Urteile 6B_362/2023 vom 21. Juni 2023 E. 2.1.3; 6B_1275/2020 vom 4. März 2021 E. 1.3.3).</w:t>
      </w:r>
    </w:p>
    <w:p>
      <w:r>
        <w:rPr>
          <w:b/>
        </w:rPr>
        <w:t>E. 2.1.4</w:t>
      </w:r>
    </w:p>
    <w:p>
      <w:r>
        <w:t>Sind Kinder involviert, ist bei der Interessenabwägung als wesentliches Element dem Kindeswohl Rechnung zu tragen ( BGE 143 I 21 E. 5.5.1; Urteile 6B_225/2023 vom 7. Juli 2023 E. 1.3.6; 6B_783/2021 vom 12. April 2023 E. 1.3.3; 6B_1114/2022 vom 11. Januar 2023 E. 5; 6B_1449/2021 vom 21. September 2022 E. 3.2.3;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w:t>
      </w:r>
    </w:p>
    <w:p>
      <w:r>
        <w:rPr>
          <w:b/>
        </w:rPr>
        <w:t>E. 2.1.5</w:t>
      </w:r>
    </w:p>
    <w:p>
      <w:r>
        <w:t>Wenn eine Verletzung von Grundrechten einschliesslich der EMRK oder von kantonalem Recht behauptet wird, besteht eine qualifizierte Rügepflicht.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(Urteile 6B_362/2023 vom 21. Juni 2023 E. 2.1.5; 6B_1102/2020 vom 20. Mai 2021 E. 2; 6B_970/2019 vom 16. Oktober 2019 E. 3).</w:t>
      </w:r>
    </w:p>
    <w:p>
      <w:r>
        <w:rPr>
          <w:b/>
        </w:rPr>
        <w:t>E. 2.2</w:t>
      </w:r>
    </w:p>
    <w:p>
      <w:r>
        <w:t>Die Vorinstanz hat nicht näher geprüft, ob ein schwerer persönlicher Härtefall vorliegt, weil sie zum Schluss gelangte, die öffentlichen Interessen an der Landesverweisung würden gegenüber den privaten Interessen des Beschwerdeführers am Verbleib in der Schweiz ohnehin überwiegen. Dies rügt der Beschwerdeführer zu Unrecht. Er übersieht, dass ihm die vorinstanzliche Vorgehensweise zum Vorteil gereicht. Denn ohne implizite Annahme eines schweren persönlichen Härtefalls wäre die Vorinstanz überhaupt nicht zur Abwägung seiner privaten Interessen am Verbleib in der Schweiz gegenüber den öffentlichen Interessen an der Landesverweisung gehalten gewesen.</w:t>
      </w:r>
    </w:p>
    <w:p>
      <w:r>
        <w:rPr>
          <w:b/>
        </w:rPr>
        <w:t>E. 2.3</w:t>
      </w:r>
    </w:p>
    <w:p>
      <w:r>
        <w:t>Diese Interessenabwägung nimmt die Vorinstanz ausführlich und überzeugend vor.</w:t>
      </w:r>
    </w:p>
    <w:p>
      <w:r>
        <w:rPr>
          <w:b/>
        </w:rPr>
        <w:t>E. 2.3.1</w:t>
      </w:r>
    </w:p>
    <w:p>
      <w:r>
        <w:t>Einleitend stuft sie das öffentliche Interesse an der Landesverweisung als gewichtig ein. Der Beschwerdeführer sei zwar nicht vorbestraft, doch werde er wegen einer breiten Palette von Straftaten verurteilt, nämlich Freiheitsberaubung, Betrug, Urkundenfälschung, versuchte Nötigung, Drohung und Verletzung des Geheim- und Privatbereichs durch Aufnahmegeräte. Mit der Begehung dieser Taten habe er eine "nicht unerhebliche kriminelle Energie an den Tag gelegt". Von blosser "Bagatellkriminalität" könne keine Rede sein. Entsprechend sei eine Freiheitsstrafe von 11 Monaten und eine Geldstrafe von 180 Tagessätzen ausgefällt worden, wenn auch bedingt.</w:t>
      </w:r>
    </w:p>
    <w:p>
      <w:r>
        <w:rPr>
          <w:b/>
        </w:rPr>
        <w:t>E. 2.3.2</w:t>
      </w:r>
    </w:p>
    <w:p>
      <w:r>
        <w:t>Zu den privaten Interessen am Verbleib in der Schweiz erwägt die Vorinstanz, der Beschwerdeführer sei mit 15 Jahren in die Schweiz gekommen und lebe seit rund 20 Jahren hier. Er sei somit nicht in der Schweiz geboren oder aufgewachsen (vgl. Art. 66a Abs. 2 Satz 2 StGB ). Die prägenden Jugendjahre habe er in der Türkei verbracht. Er spreche Deutsch mit starkem Akzent. Eine Lehre oder Berufsausbildung habe er nicht absolviert, sei aber jahrelang berufstätig gewesen. Seine 40 %-Stelle beim Kanton habe er nach dem erstinstanzlichen Urteil verloren. Heute beziehe er eine IV-Rente von 40 % und arbeite zu 20 %. Bei einer Landesverweisung würde er somit bloss eine marginale berufliche Existenz einbüssen. Was die IV-Rente betreffe, könne er gestützt auf das Abkommen zwischen der Schweiz und der Republik Türkei über soziale Sicherheit vom 1. Mai 1969 (SR 0.831.109.763.1) auch in seiner Heimat entsprechende Leistungen erhalten. Er verfüge per 18. August 2020 über Schulden von Fr. 41'423.55. Das über ihn am 2. Dezember 2020 eröffnete Konkursverfahren sei am 12. Januar 2021 mangels Aktiven eingestellt worden. Aus alledem zieht die Vorinstanz den zutreffenden Schluss, es könne nicht von einer erfolgreichen wirtschaftlichen Integration des Beschwerdeführers in der Schweiz gesprochen werden.</w:t>
      </w:r>
    </w:p>
    <w:p>
      <w:r>
        <w:rPr>
          <w:b/>
        </w:rPr>
        <w:t>E. 2.3.3</w:t>
      </w:r>
    </w:p>
    <w:p>
      <w:r>
        <w:t>Weiter berücksichtigt die Vorinstanz die privaten Verhältnisse des Beschwerdeführers. Er pflege regelmässigen Kontakt zu seinen Eltern und Geschwistern in Chur. In der Türkei habe er Verwandte, besitze Grundstücke und Wohnungen und reise regelmässig und ohne Schwierigkeiten dorthin. Inzwischen sei er mit einer schweizerisch-türkischen Doppelbürgerin verheiratet und habe mit ihr ein 9 Monate altes Kind. An der Berufungsverhandlung habe er erklärt, seine Frau wohne mit seiner Schwester in einer Wohngemeinschaft, während er bei seinen Eltern lebe. Es sei aber beabsichtigt, dass seine Frau mit dem Kind zu ihm und seinen Eltern ziehe. Die Vorinstanz weist darauf hin, dass der Beschwerdeführer bereits an der erstinstanzlichen Befragung vom 9. November 2021 angegeben habe, er habe mit seiner Frau die Hochzeit gefeiert. Trotzdem lebe er nach wie vor nicht mit ihr und dem gemeinsamen Kind zusammen. Dies wecke Zweifel, ob die Beziehung tatsächlich gelebt werde. Das Kind des Beschwerdeführers sei gesund und zum Zeitpunkt des Berufungsurteils noch nicht einmal jährig. Es befinde sich im anpassungsfähigen Alter. Seine Frau spreche ebenfalls Türkisch. Sie habe zum Zeitpunkt der Heirat um die laufende Strafuntersuchung und die Gefahr einer Verurteilung wissen müssen.</w:t>
      </w:r>
    </w:p>
    <w:p>
      <w:r>
        <w:rPr>
          <w:b/>
        </w:rPr>
        <w:t>E. 2.4</w:t>
      </w:r>
    </w:p>
    <w:p>
      <w:r>
        <w:t>Was der Beschwerdeführer gegen diese Erwägungen vorbringt, dringt nicht durch.</w:t>
      </w:r>
    </w:p>
    <w:p>
      <w:r>
        <w:rPr>
          <w:b/>
        </w:rPr>
        <w:t>E. 2.4.1</w:t>
      </w:r>
    </w:p>
    <w:p>
      <w:r>
        <w:t>Auf seine Rügen ist von vornherein nicht einzugehen, soweit er sich von den vorinstanzlichen Sachverhaltsfeststellungen entfernt, ohne Willkür darzutun (vgl. E. 1.2 f. hiervor).</w:t>
      </w:r>
    </w:p>
    <w:p>
      <w:r>
        <w:rPr>
          <w:b/>
        </w:rPr>
        <w:t>E. 2.4.2</w:t>
      </w:r>
    </w:p>
    <w:p>
      <w:r>
        <w:t>Der Beschwerdeführer anerkennt selbst, dass seine Frau bei der Verehelichung Kenntnis vom Strafverfahren gehabt habe. Der Umstand, dass sie von seiner Unschuld überzeugt gewesen sei und es kategorisch ablehne, mit dem gemeinsamen Kind in die Türkei zu ziehen, ist nicht entscheidend. Denn die Vorinstanz erwägt zutreffend, dass es dem Beschwerdeführer und seiner Frau angesichts der konkreten Umstände möglich und zumutbar ist, das Familienleben in der Türkei fortzusetzen, zumal das gemeinsame Kind, das während des Strafverfahrens gezeugt wurde, im anpassungsfähigen Alter ist.</w:t>
      </w:r>
    </w:p>
    <w:p>
      <w:r>
        <w:t>Der Beschwerdeführer trägt vor, er habe sich stets an die Rechtsordnung gehalten und stelle auf keinen Fall eine Gefahr für die öffentliche Sicherheit dar. Dies trifft offensichtlich nicht zu. Der Beschwerdeführer wurde wegen Freiheitsberaubung, Betrugs, Urkundenfälschung, versuchter Nötigung, Drohung und Verletzung des Geheim- und Privatbereichs durch Aufnahmegeräte verurteilt. Es kann keine Rede davon sein, dass er sich stets an die Rechtsordnung gehalten hat und keine Gefahr für die öffentliche Sicherheit darstellt. Daran ändert seine Behauptung nichts, dass die Verurteilungen ihren Ursprung in einer toxischen Beziehung zu seiner Exfreundin gehabt haben sollen.</w:t>
      </w:r>
    </w:p>
    <w:p>
      <w:r>
        <w:t>Der Beschwerdeführer stellt ohne weitere Begründung die Behauptung in den Raum, die Interessenabwägung falle klar zu seinen Gunsten aus. Dass dem nicht so ist, legt die Vorinstanz ausführlich und schlüssig dar. Der Beschwerdeführer spricht von einer "intensiven Integration beruflicher und gesellschaftlicher Natur". Dass davon keine Rede sein kann, erschliesst sich ohne Weiteres aus den überzeugenden vorinstanzlichen Erwägungen.</w:t>
      </w:r>
    </w:p>
    <w:p>
      <w:r>
        <w:rPr>
          <w:b/>
        </w:rPr>
        <w:t>E. 2.5</w:t>
      </w:r>
    </w:p>
    <w:p>
      <w:r>
        <w:t>Die Ausschreibung im Schengener Informationssystem rügt der Beschwerdeführer nicht. Seinen Antrag betreffend den Verzicht auf die Ausschreibung begründet er einzig mit der beantragten Aufhebung der Landesverweisung. Die Erwägungen der Vorinstanz zur Ausschreibung im Schengener Informationssystem sind denn auch schlüssig. Darauf kann verwiesen werden.</w:t>
      </w:r>
    </w:p>
    <w:p>
      <w:r>
        <w:rPr>
          <w:b/>
        </w:rPr>
        <w:t>E. 2.6</w:t>
      </w:r>
    </w:p>
    <w:p>
      <w:r>
        <w:t>Nach dem Gesagten ist die Landesverweisung von 5 Jahren einschliesslich Ausschreibung im Schengener Informationssystem nicht zu beanstanden.</w:t>
      </w:r>
    </w:p>
    <w:p>
      <w:r>
        <w:rPr>
          <w:b/>
        </w:rPr>
        <w:t>E. 3</w:t>
      </w:r>
    </w:p>
    <w:p>
      <w:r>
        <w:t>Die Beschwerde ist abzuweisen, soweit darauf eingetreten wird. Ausgangsgemäss sind die Gerichtskosten dem Beschwerdeführer aufzuerlegen ( Art. 66 Abs. 1 BGG ). Sein Gesuch um unentgeltliche Rechtspflege ist wegen Aussichtslosigkeit abzuweisen ( Art. 64 Abs. 1 BGG ). Seinen finanziellen Verhältnissen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