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6B_303/2019 vom 9. April 2019</w:t>
      </w:r>
    </w:p>
    <w:p>
      <w:r>
        <w:t>Bundesgericht, 2019-04-09, FR</w:t>
      </w:r>
    </w:p>
    <w:p>
      <w:r>
        <w:rPr>
          <w:b/>
        </w:rPr>
        <w:t xml:space="preserve">Quelle: </w:t>
      </w:r>
      <w:r>
        <w:t>https://mcp.opencaselaw.ch/entscheid/bger_6B_303_2019</w:t>
      </w:r>
    </w:p>
    <w:p>
      <w:r>
        <w:t>FR: TF 6B_303/2019 du 9 avril 2019</w:t>
      </w:r>
    </w:p>
    <w:p>
      <w:r>
        <w:t>IT: TF 6B_303/2019 del 9 aprile 2019</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1.2</w:t>
      </w:r>
    </w:p>
    <w:p>
      <w:r>
        <w:t>En l'espèce, le recourant, qui a pris part à la procédure cantonale, soutient que l'édifice de mensonges échafaudé par Y.________ et Z.________ l'a conduit à acquérir pour un prix de 3'584'520 fr. des diamants qui valaient en réalité 670'000 francs. Dès lors que le préjudice allégué paraît découler des infractions dénoncées, le recourant dispose de la qualité pour recourir. Vu le sort du recours, il n'y a pas lieu d'examiner plus avant l'incidence de l'accord transactionnel sur les prétentions civiles.</w:t>
      </w:r>
    </w:p>
    <w:p>
      <w:r>
        <w:rPr>
          <w:b/>
        </w:rPr>
        <w:t>E. 2</w:t>
      </w:r>
    </w:p>
    <w:p>
      <w:r>
        <w:t>Le recourant fait grief à la cour cantonale d'avoir considéré que le principe</w:t>
      </w:r>
    </w:p>
    <w:p>
      <w:r>
        <w:t>ne bis in idem ( art. 11 al. 1 CPP ) s'opposait à l'ouverture d'une procédure préliminaire ensuite de sa plainte du 27 septembre 2017.</w:t>
      </w:r>
    </w:p>
    <w:p>
      <w:r>
        <w:rPr>
          <w:b/>
        </w:rPr>
        <w:t>E. 2.1.1</w:t>
      </w:r>
    </w:p>
    <w:p>
      <w:r>
        <w:t>Selon le principe</w:t>
      </w:r>
    </w:p>
    <w:p>
      <w:r>
        <w:t>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 art. 11 al. 1 CPP et découle en outre implicitement de la Constitution fédérale. Il est par ailleurs garanti par l'art. 4 al. 1 du Protocole n° 7 à la CEDH (RS 0.101.07) et par l'art. 14 al. 7 du Pacte-ONU II (RS 0.103.2; ATF 144 IV 362 consid. 1.3.2 p. 366; 137 I 363 consid 2.1 p. 365; arrêt 6B_157/2019 du 11 mars 2019 consid. 2). L'autorité de chose jugée et le principe</w:t>
      </w:r>
    </w:p>
    <w:p>
      <w:r>
        <w:t>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6B_279/2018 du 27 juillet 2018 consid. 1.1; 6B_1053/2017 du 17 mai 2018 consid. 4.1). L'interdiction de la double poursuite constitue un empêchement de procéder, dont il doit être tenu compte à chaque stade de la procédure (ATF 144 IV précité consid. 1.3.2 p. 366).</w:t>
      </w:r>
    </w:p>
    <w:p>
      <w:r>
        <w:t>Une ordonnance de classement entrée en force équivaut à un acquittement ( art. 320 al. 4 CPP ) et acquiert donc l'autorité de chose jugée. Cela exclut, en application du principe</w:t>
      </w:r>
    </w:p>
    <w:p>
      <w:r>
        <w:t>ne bis in idem que le bénéficiaire du classement puisse faire l'objet d'une nouvelle poursuite à raison des mêmes faits (arrêt 6B_291/2018 du 17 octobre 2018 consid. 4.1).</w:t>
      </w:r>
    </w:p>
    <w:p>
      <w:r>
        <w:rPr>
          <w:b/>
        </w:rPr>
        <w:t>E. 2.1.2</w:t>
      </w:r>
    </w:p>
    <w:p>
      <w:r>
        <w:t>L' art. 11 al. 2 CPP réserve la reprise de la procédure close par une ordonnance de classement ou de non-entrée en matière ainsi que la révision. La faculté de se prévaloir du principe</w:t>
      </w:r>
    </w:p>
    <w:p>
      <w:r>
        <w:t>ne bis in idem est donc expressément limitée par l' art. 323 al. 1 CPP ( ATF 144 IV 81 consid. 2.3.5 p. 88). A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 ATF 141 IV 194 consid. 2.3 p. 197).</w:t>
      </w:r>
    </w:p>
    <w:p>
      <w:r>
        <w:rPr>
          <w:b/>
        </w:rPr>
        <w:t>E. 2.2</w:t>
      </w:r>
    </w:p>
    <w:p>
      <w:r>
        <w:t>En l'espèce, la cour cantonale a considéré que le principe</w:t>
      </w:r>
    </w:p>
    <w:p>
      <w:r>
        <w:t>ne bis in idem (cf. art. 11 al. 1 CPP ) s'opposait à l'ouverture d'une nouvelle procédure contre Y.________ et Z.________. Ainsi, la seconde plainte du recourant révélait une identité de faits et de personnes avec la procédure n° P/21881/2015, dès lors que toutes deux visaient les mêmes mis en cause et résultaient de l'exécution défectueuse du même contrat au sujet des mêmes 58 diamants blancs.</w:t>
      </w:r>
    </w:p>
    <w:p>
      <w:r>
        <w:t>Pour le surplus, elle a constaté l'irrecevabilité de la conclusion subsidiaire du recourant tendant à la reprise de la procédure (cf. art. 323 al. 1 CPP ), faute de décision rendue par le ministère public sur ce point.</w:t>
      </w:r>
    </w:p>
    <w:p>
      <w:r>
        <w:rPr>
          <w:b/>
        </w:rPr>
        <w:t>E. 2.3</w:t>
      </w:r>
    </w:p>
    <w:p>
      <w:r>
        <w:t>Le recourant soutient que les situations présentées dans chacune de ses deux plaintes sont en tout état différentes, de sorte que l'interdiction de la double poursuite ne saurait faire obstacle à l'ouverture d'une nouvelle procédure préliminaire. Si, dans sa première plainte, il reprochait à Y.________ et Z.________ de lui avoir vendu des diamants à un prix qui ne correspondait pas à celui de l'indice " Rapaport ", il fait grief aux précités, dans sa seconde plainte, de lui avoir fait faussement croire que cet indice était pertinent dans le commerce de diamants d'investissements. Concernant les propriétés des pierres litigieuses, il se plaignait en premier lieu de la trop faible quantité de gemmes " de qualité VV1 " parmi celles acquises par X.________ Sàrl, alors qu'il fait valoir dans sa nouvelle plainte que seuls deux diamants disposaient des qualités propres à des pierres d'investissement, Y.________ et Z.________ lui ayant livré pour le surplus des gemmes d'une valeur six fois inférieure à ce qui avait été convenu à l'origine.</w:t>
      </w:r>
    </w:p>
    <w:p>
      <w:r>
        <w:t>Cela étant, on déduit de ce qui précède que les faits dénoncés se rapportaient initialement au prix d'acquisition des diamants blancs, alors que, dans le cadre de la seconde plainte, ceux-ci étaient exposés dans la perspective de leur valeur d'investissement, soit du prix que le recourant pourrait en tirer lors de leur revente. Ainsi, si les problématiques liées à la surfacturation des diamants et à leur qualité sont abordées sous un angle différent, il n'en demeure pas moins que l'inadéquation entre le prix facturé par X.________ Sàrl et la valeur des pierres sur le marché constitue un fait qui avait déjà été dénoncé par le recourant dans le cadre de la procédure initiale, laquelle avait abouti à un classement.</w:t>
      </w:r>
    </w:p>
    <w:p>
      <w:r>
        <w:t>En outre, il n'apparaît pas que le ministère public avait entendu restreindre, à l'un ou l'autre aspect du litige, l'autorité de chose jugée conférée au classement ordonné dans le cadre de la procédure n° P/21881/2015. Dans ce contexte, il n'est pas pertinent que Y.________ et Z.________ n'avaient pas formellement été mis en prévention pour avoir trompé le recourant sur la valeur et la qualité de la marchandise vendue. Enfin, dans la mesure la qualification juridique n'est pas pertinente dans l'examen du principe</w:t>
      </w:r>
    </w:p>
    <w:p>
      <w:r>
        <w:t>ne bis in idem , il importe peu que la procédure initiale ne portait pas sur l'infraction de gestion déloyale ( art. 158 CP ).</w:t>
      </w:r>
    </w:p>
    <w:p>
      <w:r>
        <w:t>Compte tenu de ce qui précède, il n'était pas critiquable de considérer que la seconde plainte du recourant portait en substance sur des faits identiques à ceux ayant fait l'objet de la procédure n° P/21881/2015, de sorte que l'ouverture d'une nouvelle procédure contre Y.________ et Z.________ se heurtait à un empêchement de procéder (cf. art. 310 al. 1 let. b CPP ).</w:t>
      </w:r>
    </w:p>
    <w:p>
      <w:r>
        <w:rPr>
          <w:b/>
        </w:rPr>
        <w:t>E. 2.4</w:t>
      </w:r>
    </w:p>
    <w:p>
      <w:r>
        <w:t>Par ailleurs, il n'apparaît pas que, dans son ordonnance de non-entrée en matière du 11 juin 2018, le ministère public avait examiné si les faits dénoncés justifiaient la reprise de la procédure n° P/21881/2015 (cf. art. 323 al. 1 CPP ), le recourant ne démontrant du reste pas avoir requis une telle reprise dans sa plainte du 27 septembre 2017.</w:t>
      </w:r>
    </w:p>
    <w:p>
      <w:r>
        <w:t>Faute d'une décision rendue par le ministère public à cet égard, la cour cantonale n'avait donc pas à examiner la conclusion subsidiaire du recourant tendant à la reprise de la procédure. C'est dès lors en vain que le recourant revient sur ces aspects.</w:t>
      </w:r>
    </w:p>
    <w:p>
      <w:r>
        <w:rPr>
          <w:b/>
        </w:rPr>
        <w:t>E. 2.5</w:t>
      </w:r>
    </w:p>
    <w:p>
      <w:r>
        <w:t>Enfin, le recourant ne conteste pas que son recours cantonal portait exclusivement sur le sort des diamants blancs et non sur celui des diamants jaunes, de sorte que la cour cantonale pouvait se dispenser d'examiner les faits dénoncés en relation avec ceux-ci (cf. arrêt entrepris, p. 7).</w:t>
      </w:r>
    </w:p>
    <w:p>
      <w:r>
        <w:rPr>
          <w:b/>
        </w:rPr>
        <w:t>E. 3</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