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6B_303/2015 vom 8. Oktober 2015</w:t>
      </w:r>
    </w:p>
    <w:p>
      <w:r>
        <w:t>Bundesgericht, 2015-10-08, FR</w:t>
      </w:r>
    </w:p>
    <w:p>
      <w:r>
        <w:rPr>
          <w:b/>
        </w:rPr>
        <w:t xml:space="preserve">Quelle: </w:t>
      </w:r>
      <w:r>
        <w:t>https://mcp.opencaselaw.ch/entscheid/bger_6B_303_2015</w:t>
      </w:r>
    </w:p>
    <w:p>
      <w:r>
        <w:t>FR: TF 6B_303/2015 du 8 octobre 2015</w:t>
      </w:r>
    </w:p>
    <w:p>
      <w:r>
        <w:t>IT: TF 6B_303/2015 del 8 ottobre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Confirmant l'ordonnance de classement rendue par le Ministère public, elle a un caractère final ( art. 90 LTF ) et émane de l'autorité cantonale de dernière instance ( art. 80 LTF ). Le recourant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1.2.1</w:t>
      </w:r>
    </w:p>
    <w:p>
      <w:r>
        <w:t>Le droit d'un proche au sens de l' 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ne soit exigée, il ne suffit cependant pas d'articuler des conclusions civiles sans aucun fondement, voire fantaisistes; il faut, avec une certaine vraisemblance, que les prétentions invoquées soient fondées ( ATF 139 IV 89 consid. 2.2 p. 92). Cela vaut également en ce qui concerne la recevabilité d'un recours de la partie plaignante au Tribunal fédéral, notamment au regard des exigences de motivation découlant de l' art. 42 al. 2 LTF . Ainsi, si le recourant ne peut manifestement pas faire valoir des prétentions fondées sur les art. 41 ss CO , la qualité pour recourir au sens de l'art. 81 al. 1 let. b ch. 5 LTF doit lui être déniée (arrêt 1B_15/2012 du 23 mars 2012 consid. 1.4 publié in SJ 2012 I 458).</w:t>
      </w:r>
    </w:p>
    <w:p>
      <w:r>
        <w:t>S'agissant du cas particulier du frère ou de la soeur de la victime, ils comptent parmi les membres de la famille qui peuvent en principe prétendre à une indemnité pour tort moral ( art. 47 CO ). Cependant, ce droit dépend des circonstances et la pratique en la matière est plutôt restrictive. Le fait de vivre sous le même toit est cependant un indice important de l'intensité de la relation pouvant exister dans une fratrie, ce qui peut ainsi ouvrir le droit à une indemnisation. Si tel n'est pas le cas au moment du décès du frère ou de la soeur, l'allocation d'une indemnité pour tort moral n'est envisageable qu'en présence de contacts très étroits, seuls susceptibles d'occasionner des souffrances morales exceptionnelles (arrêt 1B_137/2015 du 1er septembre 2015 consid. 2.1 et les nombreuses références citées).</w:t>
      </w:r>
    </w:p>
    <w:p>
      <w:r>
        <w:rPr>
          <w:b/>
        </w:rPr>
        <w:t>E. 1.2.2</w:t>
      </w:r>
    </w:p>
    <w:p>
      <w:r>
        <w:t>En l'espèce, le recourant ne prétend pas, à juste titre, que sa qualité pour recourir devant le Tribunal fédéral découlerait de la seule reconnaissance de sa qualité de partie plaignante par le Ministère public et de l'absence de contestation sur cette question devant la cour cantonale. Dans la décision du Procureur, il était d'ailleurs rappelé la nature particulière de la procédure - élucider les circonstances de la disparition, puis du décès du frère du recourant -, ainsi que l'absence de prévenu.</w:t>
      </w:r>
    </w:p>
    <w:p>
      <w:r>
        <w:t>Devant le Tribunal fédéral, le recourant, qui ne soutient pas agir au nom de ses parents ou en qualité de représentant des héritiers de feu Z.________, prétend à l'allocation d'une indemnité pour tort moral à hauteur de 10'000 fr., affirmant avoir eu avec son frère des rapports solides, réguliers et harmonieux.</w:t>
      </w:r>
    </w:p>
    <w:p>
      <w:r>
        <w:t>Certes, les éléments allégués par le recourant (en particulier les invitations régulières au cours de l'année dans sa famille malgré la distance géographique les séparant, les discussions alors tenues sur les projets et plans de carrière du défunt, ainsi que le placement de son frère à sa table lors de son mariage) démontrent une bonne entente familiale. Cela ne suffit toutefois pas pour retenir que les liens unissant les deux frères auraient été au-delà de ceux existant généralement dans une fratrie ayant quitté le giron parental. A défaut d'indication chronologique, cela ne découle en particulier pas de la mention du paiement au défunt de ses études de photographe ou de l'achat de deux oeuvres photographiques.</w:t>
      </w:r>
    </w:p>
    <w:p>
      <w:r>
        <w:t>Quant aux circonstances tragiques entourant le décès de Z.________, elles sont propres à entraîner des souffrances importantes, notamment en raison des sentiments de tristesse, d'incompréhension et/ou de possible culpabilité. Dans une telle situation, l'organisation des funérailles, la disposition des biens du défunt, puis le travail de deuil ne sont assurément pas des tâches aisées. Cela ne permet néanmoins pas d'apprécier la nature, respectivement l'intensité, des liens, qui unissait préalablement le recourant à son frère.</w:t>
      </w:r>
    </w:p>
    <w:p>
      <w:r>
        <w:t>Au vu des considérations précédentes, le recourant ne pourrait pas faire valoir des prétentions fondées sur l' art. 47 CO . Il en résulte qu'il n'a pas qualité pour recourir au Tribunal fédéral (art. 81 al. 1 let. a et b ch. 5 LTF).</w:t>
      </w:r>
    </w:p>
    <w:p>
      <w:r>
        <w:rPr>
          <w:b/>
        </w:rPr>
        <w:t>E. 2.1</w:t>
      </w:r>
    </w:p>
    <w:p>
      <w:r>
        <w:t>Indépendamment des conditions posées par l'art. 81 al. 1 let. a et b ch. 5 et ch. 6 LTF - cette deuxième hypothèse n'entrant pas en considération en l'espèce -, la partie recourante est aussi habilitée à se plaindre d'une violation de ses droits de partie équivalant à un déni de justice formel; elle ne peut toutefois faire valoir par ce biais, même indirectement, des moyens qui ne peuvent être séparés du fond ( ATF 141 IV 1 consid. 1.1 p. 5).</w:t>
      </w:r>
    </w:p>
    <w:p>
      <w:r>
        <w:rPr>
          <w:b/>
        </w:rPr>
        <w:t>E. 2.2</w:t>
      </w:r>
    </w:p>
    <w:p>
      <w:r>
        <w:t>En l'occurrence, le recourant se plaint d'une violation de son droit d'être entendu. A cet égard, il reproche à l'autorité précédente d'avoir confirmé le refus du Ministère public de procéder à ses réquisitions de preuve. Ce faisant, le recourant se prévaut d'une violation du droit d'être entendu à raison de la suite donnée à ses requêtes, ainsi que de l'appréciation du dossier effectuée par la cour cantonale; il entend par ce biais étayer sa propre version des faits. Ces griefs étant dès lors indissociables de la cause au fond, ils sont irrecevables.</w:t>
      </w:r>
    </w:p>
    <w:p>
      <w:r>
        <w:t>Au demeurant, il ne résulte pas d'une appréciation différente - respectivement anticipée (cf. art. 139 al. 2 CPP ; ATF 141 I 60 consid. 3.3 p. 64; 140 I 285 consid. 6.3.1 p. 299; 136 I 229 consid. 5.3 p. 236) - des éléments de preuve une violation du droit d'être entendu, ni a fortiori du principe de l'interdiction de l'arbitraire. La juridiction précédente a d'ailleurs expliqué pourquoi les réquisitions de preuve sollicitées par le recourant ne permettraient pas de modifier son appréciation. Elle a ainsi relevé que le casier judiciaire de l'intimé, ses relevés bancaires ou une surveillance téléphonique ne seraient pas à même d'apporter des informations sur les propos échangés entre l'intimé et le défunt; tel était notamment le cas de la dernière de ces mesures qui ne fournissait que des numéros et des lieux de raccordement. La cour cantonale a également rappelé que les appareils numériques du défunt avaient déjà été vérifiés, les messages alors échangés avec l'intimé devant logiquement correspondre à ceux qui pourraient être trouvés chez celui-ci. Quant à la confrontation demandée, l'autorité attaquée a considéré qu'elle n'était pas de nature à obtenir de Y.________ qu'il admette avoir agi en qualité d'instigateur et, cas échéant, dans le but de satisfaire ses propres intérêts. Ce raisonnement ne prête pas le flanc à la critique et les arguments du recourant ne permettent pas de le remettre en cause. En particulier, il ne découle pas d'une possible connaissance par l'intimé du virement bancaire préalablement à son audition le 18 septembre 2013 que l'ordre donné le 6 septembre 2013 par feu Z.________ l'aurait été à la suite d'incitations de l'intimé, ni que ce dernier aurait été au courant des intentions funestes du défunt.</w:t>
      </w:r>
    </w:p>
    <w:p>
      <w:r>
        <w:rPr>
          <w:b/>
        </w:rPr>
        <w:t>E. 3</w:t>
      </w:r>
    </w:p>
    <w:p>
      <w:r>
        <w:t>Il s'ensuit que le recours est irrecevable.</w:t>
      </w:r>
    </w:p>
    <w:p>
      <w:r>
        <w:t>Le recourant, qui succombe, supporte les frais judiciaires ( art. 66 al. 1 LTF ). Dès lors que les échanges d'écritures ont été limités à la question de l'effet suspensif, des dépens réduits sont alloués à l'intimé,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