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6B_302/2019 vom 22. März 2019</w:t>
      </w:r>
    </w:p>
    <w:p>
      <w:r>
        <w:t>Bundesgericht, 2019-03-22, DE</w:t>
      </w:r>
    </w:p>
    <w:p>
      <w:r>
        <w:rPr>
          <w:b/>
        </w:rPr>
        <w:t xml:space="preserve">Quelle: </w:t>
      </w:r>
      <w:r>
        <w:t>https://mcp.opencaselaw.ch/entscheid/bger_6B_302_2019</w:t>
      </w:r>
    </w:p>
    <w:p>
      <w:r>
        <w:t>FR: TF 6B_302/2019 du 22 mars 2019</w:t>
      </w:r>
    </w:p>
    <w:p>
      <w:r>
        <w:t>IT: TF 6B_302/2019 del 22 marzo 2019</w:t>
      </w:r>
    </w:p>
    <w:p>
      <w:pPr>
        <w:pStyle w:val="Heading2"/>
      </w:pPr>
      <w:r>
        <w:t>Erwägungen</w:t>
      </w:r>
    </w:p>
    <w:p>
      <w:r>
        <w:rPr>
          <w:b/>
        </w:rPr>
        <w:t>E. 1</w:t>
      </w:r>
    </w:p>
    <w:p>
      <w:r>
        <w:t>Der Beschwerdeführer erstattete am 19. September 2018 Strafanzeige gegen einen Staatsanwalt wegen Amtsmissbrauchs. Die Staatsanwaltschaft des Kantons Graubünden nahm die Strafuntersuchung am 15. Januar 2019 nicht an die Hand. Auf eine dagegen gerichtete Beschwerde trat das Kantonsgericht von Graubünden am 7. Februar 2019 in einer Hauptbegründung nicht ein, weil das Rechtsmittel nicht rechtsgenügend begründet worden war (Verfügung, S. 2 ff.). In einer Eventualbegründung kam es zum Schluss, die Beschwerde wäre abzuweisen, selbst wenn darauf einzutreten wäre (Verfügung, S. 4). Das Gesuch um unentgeltliche Rechtspflege wies es in seiner separaten Verfügung ab.</w:t>
      </w:r>
    </w:p>
    <w:p>
      <w:r>
        <w:t>Der Beschwerdeführer wendet sich an das Bundesgericht.</w:t>
      </w:r>
    </w:p>
    <w:p>
      <w:r>
        <w:rPr>
          <w:b/>
        </w:rPr>
        <w:t>E. 2</w:t>
      </w:r>
    </w:p>
    <w:p>
      <w:r>
        <w:t>Der Beschwerdeführer befasst sich in seiner Eingabe vor Bundesgericht nicht ansatzweise mit der Hauptbegründung der angefochtenen Verfügung. Die Beschwerde genügt insoweit den Anforderungen von Art. 42 Abs. 2 BGG nicht.</w:t>
      </w:r>
    </w:p>
    <w:p>
      <w:r>
        <w:t>Enthält ein Entscheid wie im vorliegenden Fall mehrere Begründungen, die je für sich den Ausgang der Sache besiegeln, müssen für die Gutheissung einer Beschwerde alle Begründungen das Recht verletzen ( BGE 139 III 536 E. 2.2; 133 IV 119 E. 6). Nachdem es gestützt auf die Hauptbegründung bei der angefochtenen Verfügung bleibt, muss sich das Bundesgericht mit der Eventualbegründung der Vorinstanz nicht befassen.</w:t>
      </w:r>
    </w:p>
    <w:p>
      <w:r>
        <w:t>Inwiefern die Verweigerung der unentgeltliche Rechtspflege verfassungs- oder rechtswidrig sein könnte, sagt der Beschwerdeführer nicht.</w:t>
      </w:r>
    </w:p>
    <w:p>
      <w:r>
        <w:t>Auf die Beschwerde ist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