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302/2016 vom 2. Juni 2016</w:t>
      </w:r>
    </w:p>
    <w:p>
      <w:r>
        <w:t>Bundesgericht, 2016-06-02, DE</w:t>
      </w:r>
    </w:p>
    <w:p>
      <w:r>
        <w:rPr>
          <w:b/>
        </w:rPr>
        <w:t xml:space="preserve">Quelle: </w:t>
      </w:r>
      <w:r>
        <w:t>https://mcp.opencaselaw.ch/entscheid/bger_6B_302_2016</w:t>
      </w:r>
    </w:p>
    <w:p>
      <w:r>
        <w:t>FR: TF 6B 302/2016 du 2 juin 2016</w:t>
      </w:r>
    </w:p>
    <w:p>
      <w:r>
        <w:t>IT: TF 6B 302/2016 del 2 giugno 2016</w:t>
      </w:r>
    </w:p>
    <w:p>
      <w:pPr>
        <w:pStyle w:val="Heading2"/>
      </w:pPr>
      <w:r>
        <w:t>Regeste</w:t>
      </w:r>
    </w:p>
    <w:p>
      <w:r>
        <w:t>Entschädigung für amtliche Verteidigung | Strafrecht (allgemein)</w:t>
      </w:r>
    </w:p>
    <w:p>
      <w:pPr>
        <w:pStyle w:val="Heading2"/>
      </w:pPr>
      <w:r>
        <w:t>Erwägungen</w:t>
      </w:r>
    </w:p>
    <w:p>
      <w:r>
        <w:rPr>
          <w:b/>
        </w:rPr>
        <w:t>E. 1</w:t>
      </w:r>
    </w:p>
    <w:p>
      <w:r>
        <w:t>Die Beschwerdeführerin, Rechtsanwältin X.________, übte im kantonalen Verfahren die amtliche Verteidigung eines Beschuldigten aus, dessen Beschwerde gegen seine Verurteilung wegen einfacher Körperverletzung in der Folge vom Bundesgericht abgewiesen wurde, soweit darauf einzutreten war (Urteil 6B_301/2016 vom 2. Juni 2016).</w:t>
      </w:r>
    </w:p>
    <w:p>
      <w:r>
        <w:rPr>
          <w:b/>
        </w:rPr>
        <w:t>E. 2</w:t>
      </w:r>
    </w:p>
    <w:p>
      <w:r>
        <w:t>Die Beschwerdeführerin beantragt mit Beschwerde in Strafsachen, die amtliche Verteidigung für ihre Aufwendungen mit Fr. 4'329.-- (zzgl. Fr. 129.85 für Barauslagen und Fr. 356.70 MWST) zu entschädigen. Das Kantonsgericht Schwyz hatte die Beschwerdeführerin mit Urteil vom 8. Februar 2016 als amtliche Verteidigerin für das Berufungsverfahren mit Fr. 3'000.-- (inkl. Auslagen und 8% MWST) entschädigt. Auf die namens des Beschuldigten beantragte Korrektur der erstinstanzlich zugesprochenen amtlichen Entschädigung war das Kantonsgericht mangels Rechtsschutzinteresses (zutreffend: vgl. Urteil 6B_907/2015 vom 7. Dezember 2015 E. 3.2) nicht eingetreten (Urteil S. 11). Die Beschwerdeführerin begründet ihre Beschwerde vor Bundesgericht damit, sie sei durch den (kantonsgerichtlichen) Entschädigungsentscheid betroffen und gestützt auf Art. 135 Abs. 3 lit. b StPO als amtliche Verteidigerin beschwerdeberechtigt. Gemäss Art. 135 Abs. 3 lit. b StPO ist gegen den Entschädigungsentscheid des Berufungsgerichts "beim Bundesstrafgericht" Beschwerde zu führen, d.h. bei dessen Beschwerdekammer ( Art. 37 Abs. 1 StBOG , SR 173.71; BGE 141 IV 187 E. 1; 140 IV 213 E. 1.7).</w:t>
      </w:r>
    </w:p>
    <w:p>
      <w:r>
        <w:rPr>
          <w:b/>
        </w:rPr>
        <w:t>E. 3</w:t>
      </w:r>
    </w:p>
    <w:p>
      <w:r>
        <w:t>Auf die Beschwerde ist mangels bundesgerichtlicher Zuständigkeit nicht einzutreten. Die Sache ist der Beschwerdekammer des Bundesstrafgerichts zu überweisen ( Art. 30 Abs. 2 BGG ). Der Beschwerdeführerin sind keine Gerichtskosten aufzuerlegen (Urteil 6B_719/2014 vom 21. April 2015 E. 2 [in BGE 141 IV 187 nicht publiziert]).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