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6B_301/2025 vom 4. April 2025</w:t>
      </w:r>
    </w:p>
    <w:p>
      <w:r>
        <w:t>Bundesgericht, 2025-04-04, FR</w:t>
      </w:r>
    </w:p>
    <w:p>
      <w:r>
        <w:rPr>
          <w:b/>
        </w:rPr>
        <w:t xml:space="preserve">Quelle: </w:t>
      </w:r>
      <w:r>
        <w:t>https://mcp.opencaselaw.ch/entscheid/bger_6B_301_2025</w:t>
      </w:r>
    </w:p>
    <w:p>
      <w:r>
        <w:t>FR: TF 6B_301/2025 du 4 avril 2025</w:t>
      </w:r>
    </w:p>
    <w:p>
      <w:r>
        <w:t>IT: TF 6B_301/2025 del 4 aprile 2025</w:t>
      </w:r>
    </w:p>
    <w:p>
      <w:pPr>
        <w:pStyle w:val="Heading2"/>
      </w:pPr>
      <w:r>
        <w:t>Erwägungen</w:t>
      </w:r>
    </w:p>
    <w:p>
      <w:r>
        <w:rPr>
          <w:b/>
        </w:rPr>
        <w:t>E. 1</w:t>
      </w:r>
    </w:p>
    <w:p>
      <w:r>
        <w:t>Par jugement du 20 novembre 2024, la Cour d'appel pénale du Tribunal cantonal vaudois a très partiellement admis l'appel interjeté par A.________ à l'encontre du jugement rendu le 9 juillet 2024 par le Tribunal de police de l'arrondissement de la Broye et du Nord vaudois. Elle a néanmoins confirmé ce jugement en ce qu'il libérait le prénommé du chef de prévention de contrainte, le reconnaissait coupable de menaces qualifiées et le condamnait à une peine pécuniaire de 40 jours-amende à 100 fr. l'unité, avec sursis pendant 2 ans, ainsi qu'à une amende de 900 fr., avec peine privative de liberté de substitution de 9 jours en cas de non-paiement fautif.</w:t>
      </w:r>
    </w:p>
    <w:p>
      <w:r>
        <w:rPr>
          <w:b/>
        </w:rPr>
        <w:t>E. 2</w:t>
      </w:r>
    </w:p>
    <w:p>
      <w:r>
        <w:t>Par acte daté du 18 mars 2025, transmis à la cour de céans par l'entremise de l'autorité précitée, A.________ a exposé ne pas accepter ce jugement et vouloir poursuivre la demande d'appel. On comprend ainsi qu'il a voulu former un recours en matière pénale au Tribunal fédéral contre le jugement susmentionné.</w:t>
      </w:r>
    </w:p>
    <w:p>
      <w:r>
        <w:rPr>
          <w:b/>
        </w:rPr>
        <w:t>E. 3</w:t>
      </w:r>
    </w:p>
    <w:p>
      <w:r>
        <w:t>La question de savoir si le recours a été déposé en temps utile (cf. art. 100 LTF ) souffre de rester indécise, compte tenu de ce qui suit.</w:t>
      </w:r>
    </w:p>
    <w:p>
      <w:r>
        <w:rPr>
          <w:b/>
        </w:rPr>
        <w:t>E. 4</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6B_799/2023 du 7 février 2025; 6B_214/2024 du 3 février 2024 consid. 1). 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205 consid. 2.6; 147 IV 73 consid. 4.1.2). En l'espèce, force est de constater que l'écriture du recourant, de même que la copie du courrier adressé par ce dernier à la Cour d'appel du Tribunal pénal fédéral par méconnaissance de l'autorité compétente, ne comportent aucune discussion topique des considérants du jugement attaqué, de nature à mettre en exergue des constations de fait entachées d'arbitraire ou une violation du droit fédéral. Il est dès lors patent que l'écriture du recourant ne répond pas aux exigences de motivation d'un recours en matière pénale au Tribunal fédéral (art. 42 al. 2 et 106 al. 2 LTF).</w:t>
      </w:r>
    </w:p>
    <w:p>
      <w:r>
        <w:rPr>
          <w:b/>
        </w:rPr>
        <w:t>E. 5</w:t>
      </w:r>
    </w:p>
    <w:p>
      <w:r>
        <w:t>Au vu de ce qui précède, faute de satisfaire aux conditions de recevabilité d'un recours en matière pénale au Tribunal fédéral, le recours doit être déclaré irrecevable en application de l' art. 108 al. 1 let. b LTF . Il est exceptionnellement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