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6B_301/2017 vom 20. Februar 2018</w:t>
      </w:r>
    </w:p>
    <w:p>
      <w:r>
        <w:t>Bundesgericht, 2018-02-20, FR</w:t>
      </w:r>
    </w:p>
    <w:p>
      <w:r>
        <w:rPr>
          <w:b/>
        </w:rPr>
        <w:t xml:space="preserve">Quelle: </w:t>
      </w:r>
      <w:r>
        <w:t>https://mcp.opencaselaw.ch/entscheid/bger_6B_301_2017</w:t>
      </w:r>
    </w:p>
    <w:p>
      <w:r>
        <w:t>FR: TF 6B_301/2017 du 20 février 2018</w:t>
      </w:r>
    </w:p>
    <w:p>
      <w:r>
        <w:t>IT: TF 6B_301/2017 del 20 febbraio 2018</w:t>
      </w:r>
    </w:p>
    <w:p>
      <w:pPr>
        <w:pStyle w:val="Heading2"/>
      </w:pPr>
      <w:r>
        <w:t>Erwägungen</w:t>
      </w:r>
    </w:p>
    <w:p>
      <w:r>
        <w:rPr>
          <w:b/>
        </w:rPr>
        <w:t>E. 1</w:t>
      </w:r>
    </w:p>
    <w:p>
      <w:r>
        <w:t>La recourante reproche à l'autorité précédente d'avoir violé l' art. 426 al. 2 CPP en mettant à sa charge les frais de procédure, malgré l'abandon des accusations d'abus de confiance et d'usure. Elle dénonce également la violation de la présomption d'innocence, dès lors que le jugement attaqué laisserait entendre qu'elle a commis un acte illicite; l'autorité précédente ne mentionnerait aucune norme de comportement résultant de l'ordre juridique qu'elle aurait clairement violée.</w:t>
      </w:r>
    </w:p>
    <w:p>
      <w:r>
        <w:t>La recourante limite toutefois ses conclusions à l'annulation des frais. Elle ne conteste pas l'indemnité qu'elle a été condamnée à verser à l'intimée en application de l' art. 433 CPP , qui ne fait donc pas l'objet du recours.</w:t>
      </w:r>
    </w:p>
    <w:p>
      <w:r>
        <w:rPr>
          <w:b/>
        </w:rPr>
        <w:t>E. 1.1</w:t>
      </w:r>
    </w:p>
    <w:p>
      <w:r>
        <w:t>Selon l' art. 426 al. 2 CPP , lorsque la procédure fait l'objet d'une ordonnance de classement ou que le prévenu est acquitté, tout ou partie des frais de procédure peuvent être mis à sa charge s'il a, de manière illicite et fautive, provoqué l'ouverture de la procédure ou rendu plus difficile sa conduite.</w:t>
      </w:r>
    </w:p>
    <w:p>
      <w:r>
        <w:t>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 ATF 119 Ia 332 consid. 1b p. 334; 116 Ia 162 consid. 2c p. 168; arrêts 6B_1382/2016 du 16 octobre 2017 consid. 1.2.2; 6B_1191/2016 du 12 octobre 2017 consid. 2.4).</w:t>
      </w:r>
    </w:p>
    <w:p>
      <w:r>
        <w:t>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 art. 41 CO . Le fait reproché doit constituer une violation claire de la norme de comportement (ATF 119 la 332 consid. 1b p. 334; arrêt 6B_1191/2016 précité consid. 2.4).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ATF 116 Ia 162 consid. 2c p. 170 s.; arrêt 6B_1191/2016 précité consid. 2.4; cf. art. 426 al. 3 let. a CPP ). La mise des frais à la charge du prévenu en cas d'acquittement ou de classement de la procédure doit en effet rester l'exception ( ATF 116 Ia 162 consid. 2c p. 171).</w:t>
      </w:r>
    </w:p>
    <w:p>
      <w:r>
        <w:rPr>
          <w:b/>
        </w:rPr>
        <w:t>E. 1.2.1</w:t>
      </w:r>
    </w:p>
    <w:p>
      <w:r>
        <w:t>La cour cantonale s'est référée à la jurisprudence posée notamment à l'arrêt 6B_434/2008, consid. 2, non publié dans l' ATF 135 IV 43 (cf. aussi arrêt 6B_668/2009 du 5 mars 2010 consid. 3.3.3 et arrêt 1B_475/2012 du 10 juin 2013 consid. 2.1). Selon cette jurisprudence, il y a en substance comportement fautif lorsque le prévenu aurait dû se rendre compte, sur le vu des circonstances et de sa situation personnelle, que son attitude risquait de provoquer l'ouverture d'une enquête pénale. En effet, le droit civil non écrit interdit de créer un état de fait propre à causer un dommage à autrui, sans prendre les mesures nécessaires afin d'en éviter la survenance. Le droit de procédure pénale interdit implicitement de créer sans nécessité l'apparence qu'une infraction a été ou pourrait être commise, car un tel comportement est susceptible de provoquer l'intervention des autorités répressives et l'ouverture d'une procédure pénale et, partant, de causer à la collectivité le dommage que constituent les frais liés à une instruction pénale ouverte inutilement (cf. jugement attaqué p. 9).</w:t>
      </w:r>
    </w:p>
    <w:p>
      <w:r>
        <w:t>La cour cantonale a admis que, par son comportement, la recourante avait créé l'apparence qu'une infraction contre le patrimoine avait été ou pourrait être commise, de sorte que l'ouverture d'une instruction pénale ainsi que les opérations diligentées dans le cadre de l'enquête se justifiaient. Elle a expliqué que l'opération en question comportait de nombreuses dissimulations. Ainsi, alors que la recourante connaissait la faiblesse de l'intimée et la dépendance dans laquelle se trouvait celle-ci à son égard, elle n'a pas cherché à s'assurer de la capacité de l'intimée à consentir librement à une opération aussi désavantageuse financièrement, mais s'est au contraire escrimée à présenter, devant le notaire, ce transfert immobilier comme servant les intérêts de la venderesse. L'intimée dont les capacités volitives étaient gravement altérées et qui craignait en particulier l'abandon ou la colère de la recourante, a accepté de se dessaisir d'un bien-fonds qu'elle avait payé 230'000 fr. et pour lequel elle avait par la suite déboursé quelque 300'000 fr. pour des travaux, sans en tirer aucun bénéfice. L'opération en question constituait en réalité une donation occulte en faveur de Y.________, dès lors que le prix de vente de 200'000 fr. devait être, d'entente entre les parties, intégralement affecté à la réfection de l'immeuble. Or, la recourante s'est abstenue de signaler au notaire ces deux éléments, à savoir que des travaux importants avaient été accomplis sur l'immeuble entre 2004 et 2008 et que les 200'000 fr. payés à la venderesse seraient investis dans la rénovation du bâtiment (jugement attaqué p. 9 ss).</w:t>
      </w:r>
    </w:p>
    <w:p>
      <w:r>
        <w:rPr>
          <w:b/>
        </w:rPr>
        <w:t>E. 1.2.2</w:t>
      </w:r>
    </w:p>
    <w:p>
      <w:r>
        <w:t>En l'espèce, la cour cantonade n'a mentionné aucune norme de comportement résultant de l'ordre juridique protégeant le patrimoine de l'intimée que la recourante aurait violé. La jurisprudence à laquelle elle se réfère (arrêt 6B_434/2008 consid. 2 précité) doit être interprétée de manière restrictive. En effet, tout prévenu qui fait l'objet d'une enquête pénale doit normalement, dans un Etat de droit, avoir eu un comportement impliquant que des soupçons se portent sur lui. Ainsi, il est admis qu'un comportement immoral ou contraire au principe de la bonne foi an sens de l' art. 2 CC ne saurait suffire pour justifier l'intervention des autorités répressives et, partant, entraîner l'imputation des frais au prévenu acquitté (arrêt 6B_893/2016 du 13 janvier 2017 consid. 3.2; arrêt 6B_803/2016 du 20 juillet 2017). En l'espèce, la construction juridique à laquelle la recourante a recouru est certes insolite; elle a caché différents éléments au notaire et ne s'est pas assurée de la capacité de discernement de l'intimée. Une violation claire d'une norme de comportement donnant naissance à une responsabilité délictuelle n'est toutefois pas établie, de sorte que la cour cantonale ne pouvait mettre les frais à la charge de la recourante.</w:t>
      </w:r>
    </w:p>
    <w:p>
      <w:r>
        <w:rPr>
          <w:b/>
        </w:rPr>
        <w:t>E. 2</w:t>
      </w:r>
    </w:p>
    <w:p>
      <w:r>
        <w:t>Le recours doit ainsi être admis, le jugement attaqué annulé et la cause renvoyée à l'autorité précédente pour nouvelle décision. La recourante qui obtient gain de cause ne supporte pas de frais judiciaires ( art. 66 al. 1 LTF ) et peut prétendre à une indemnité de dépens à la charge du canton de Vaud, ce qui rend sans objet la demande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