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6B_29/2021 vom 30. September 2021</w:t>
      </w:r>
    </w:p>
    <w:p>
      <w:r>
        <w:t>Bundesgericht, 2021-09-30, FR</w:t>
      </w:r>
    </w:p>
    <w:p>
      <w:r>
        <w:rPr>
          <w:b/>
        </w:rPr>
        <w:t xml:space="preserve">Quelle: </w:t>
      </w:r>
      <w:r>
        <w:t>https://mcp.opencaselaw.ch/entscheid/bger_6B_29_2021</w:t>
      </w:r>
    </w:p>
    <w:p>
      <w:r>
        <w:t>FR: TF 6B_29/2021 du 30 septembre 2021</w:t>
      </w:r>
    </w:p>
    <w:p>
      <w:r>
        <w:t>IT: TF 6B_29/2021 del 30 settembre 2021</w:t>
      </w:r>
    </w:p>
    <w:p>
      <w:pPr>
        <w:pStyle w:val="Heading2"/>
      </w:pPr>
      <w:r>
        <w:t>Erwägungen</w:t>
      </w:r>
    </w:p>
    <w:p>
      <w:r>
        <w:rPr>
          <w:b/>
        </w:rPr>
        <w:t>E. 1</w:t>
      </w:r>
    </w:p>
    <w:p>
      <w:r>
        <w:t>Le recourant critique la quotité de la peine privative de liberté qui lui a été infligée. Il invoque des violations des art. 47 et 48 let . e CP.</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rPr>
          <w:b/>
        </w:rPr>
        <w:t>E. 1.2</w:t>
      </w:r>
    </w:p>
    <w:p>
      <w:r>
        <w:t>Aux termes de l' art. 48 let . e CP, le juge atténue la peine si l'intérêt à punir a sensiblement diminué en raison du temps écoulé depuis l'infraction et que l'auteur s'est bien comporté dans l'intervalle.</w:t>
      </w:r>
    </w:p>
    <w:p>
      <w:r>
        <w:t>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p. 147 s.; 132 IV 1 consid. 6.1 et 6.2 p. 2 ss).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 p. 148; cf. arrêt 6B_260/2020 du 2 juillet 2020 consid. 2.3.3).</w:t>
      </w:r>
    </w:p>
    <w:p>
      <w:r>
        <w:rPr>
          <w:b/>
        </w:rPr>
        <w:t>E. 1.3</w:t>
      </w:r>
    </w:p>
    <w:p>
      <w:r>
        <w:t>Le principe de l'autorité de l'arrêt de renvoi découle du droit fédéral non écrit ( ATF 143 IV 214 consid. 5.3.3).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131 III 91 consid. 5.2; arrêt 6B_1401/2020 du 6 septembre 2021 consid. 2.1). Elle ne peut pas fonder sa nouvelle décision sur des motifs que le Tribunal fédéral a expressément ou implicitement rejetés, mais bien sur un motif supplémentaire non invoqué dans sa décision précédente et sur lequel le Tribunal fédéral ne s'est pas prononcé ( ATF 112 Ia 353 consid. 3c/bb).</w:t>
      </w:r>
    </w:p>
    <w:p>
      <w:r>
        <w:rPr>
          <w:b/>
        </w:rPr>
        <w:t>E. 1.4</w:t>
      </w:r>
    </w:p>
    <w:p>
      <w:r>
        <w:t>Dans son second arrêt de renvoi du 1er octobre 2020 (6B_590/2020), le Tribunal fédéral a relevé qu'au moment de déterminer si l'action pénale était proche de la prescription, en vue d'une application de l' art. 48 let . e CP, il convenait de tenir compte de la date à laquelle le jugement était rendu, et non celle de sa notification (consid. 1.4). Ainsi, lorsqu'une décision cantonale était annulée par le Tribunal fédéral et la cause renvoyée à l'autorité cantonale pour une nouvelle fixation de la peine, l' art. 48 let . e CP devait être appliqué en tenant compte de la date à laquelle les faits étaient souverainement établis (consid. 1.5).</w:t>
      </w:r>
    </w:p>
    <w:p>
      <w:r>
        <w:t>En l'espèce, en tant que la cour cantonale avait tenu pour pertinente la date de son premier arrêt (6 septembre 2019), et non celle où elle avait statué pour une seconde fois à la suite du premier arrêt de renvoi (24 mars 2020), elle avait donc violé l' art. 48 let . e CP. La cause devait ainsi lui être renvoyée pour qu'elle inflige au recourant la peine qui lui paraissait appropriée, en tenant compte notamment de la situation personnelle de ce dernier au moment de statuer à nouveau. Sous cette réserve, l'autorité cantonale pouvait se fonder sur les quotités des peines fixées dans l'arrêt du 24 mars 2020, le recourant n'ayant aucunement critiqué celles-ci, non plus que la méthodologie employée pour calculer la sanction. Enfin, s'agissant des infractions pour lesquelles les deux tiers du délai de prescription de l'action pénale ne seront pas encore écoulés, l'autorité cantonale demeurait libre d'apprécier si et dans quelle mesure l' art. 48 let . e CP pouvait trouver application (consid. 1.6).</w:t>
      </w:r>
    </w:p>
    <w:p>
      <w:r>
        <w:rPr>
          <w:b/>
        </w:rPr>
        <w:t>E. 1.5</w:t>
      </w:r>
    </w:p>
    <w:p>
      <w:r>
        <w:t>Dans l'arrêt attaqué, la cour cantonale a estimé que la peine d'ensemble (cf. art. 49 CP ) encourue par le recourant était de 63 mois. Celle-ci devait néanmoins être déduite de moitié, pour tenir compte, d'une part, de la violation du principe de la célérité (à raison d'un quart) et, d'autre part, en vertu de l' art. 48 let . e CP, du temps écoulé depuis les infractions (à raison d'un quart également), de sorte que la peine était fixée à 31 mois.</w:t>
      </w:r>
    </w:p>
    <w:p>
      <w:r>
        <w:t>Le recourant devait en outre être mis au bénéfice du sursis partiel en application de l' art. 43 CP , aucun élément ne permettant de retenir, à son encontre, un pronostic défavorable. La partie ferme était fixée à 6 mois, soit à la durée légale minimale, pour tenir compte également de la circonstance atténuante du long temps écoulé. Compte tenu de la durée de la procédure de recours au Tribunal fédéral, la durée du sursis a été ramenée à deux ans (cf. arrêt attaqué, consid. 2.7 p. 9).</w:t>
      </w:r>
    </w:p>
    <w:p>
      <w:r>
        <w:rPr>
          <w:b/>
        </w:rPr>
        <w:t>E. 1.6</w:t>
      </w:r>
    </w:p>
    <w:p>
      <w:r>
        <w:t>Contrairement à ce que prétend le recourant, qui se prévaut à cet égard d'une violation de son droit d'être entendu ( art. 29 al. 2 Cst. ), la motivation présentée par la cour cantonale permet de comprendre sans ambiguïté, à la suite de l'arrêt de renvoi du 1er octobre 2020, dans quelle mesure le recourant devait être mis au bénéfice de la circonstance atténuante décrite à l' art. 48 let . e CP. L'autorité précédente a en particulier souligné que cette disposition trouvait application pour l'ensemble des actes d'abus de confiance et de faux dans les titres pour lesquels il avait été condamné (cf. arrêt attaqué, consid. 2.7 p. 8), dont on comprend qu'ils avaient tous été commis entre décembre 2008 et septembre 2010 (cf. arrêt attaqué, ad " En fait ", let. B.a p. 4), si bien qu'à la date de l'arrêt attaqué (13 novembre 2020), les deux tiers du délai de prescription de quinze ans (soit dix ans; cf. art. 97 al. 1 let. b CP ) étaient effectivement atteints pour l'ensemble des actes en cause.</w:t>
      </w:r>
    </w:p>
    <w:p>
      <w:r>
        <w:t>Par ailleurs, dès lors que, pour l'application de l' art. 48 let . e CP, la jurisprudence s'attache au critère de l'écoulement des deux tiers du délai de prescription, on ne voit pas qu'il se justifiait de prendre spécifiquement en considération que, pour les infractions les plus anciennes, les trois quarts de ce délai auraient déjà été atteints. La quotité de la réduction globale de la peine finalement opérée à ce titre, à raison d'un quart de la peine d'ensemble prononcée, ne prête du reste pas le flanc à la critique, ce d'autant moins que, selon les constatations cantonales, le recourant avait persisté à nier sa faute en dépit du temps écoulé, de sorte qu'il subsistait un " intérêt à punir " au regard de l' art. 48 let . e CP (cf. arrêt attaqué, consid. 2.7 p. 9).</w:t>
      </w:r>
    </w:p>
    <w:p>
      <w:r>
        <w:rPr>
          <w:b/>
        </w:rPr>
        <w:t>E. 1.7</w:t>
      </w:r>
    </w:p>
    <w:p>
      <w:r>
        <w:t>Enfin, alors que, dans l'arrêt de renvoi du 1er octobre 2020, le Tribunal fédéral avait expressément relevé que l'autorité cantonale pouvait se fonder sur les quotités des peines fixées dans l'arrêt du 24 mars 2020, le recourant n'ayant alors pas porté sur celles-ci (cf. consid. 1.4</w:t>
      </w:r>
    </w:p>
    <w:p>
      <w:r>
        <w:t>supra ), c'est en vain qu'il revient à ce stade, sous couvert d'une violation de l' art. 47 CP , sur les facteurs pris en considération pour fixer la sanction, et en particulier sur sa prétendue vulnérabilité face à celle-ci.</w:t>
      </w:r>
    </w:p>
    <w:p>
      <w:r>
        <w:t>On ne voit pas au demeurant que l'état de santé du recourant, prétendument défaillant, consacrait une circonstance extraordinaire justifiant de renoncer au prononcé à une partie de la peine ferme (cf. arrêt 6B_661/2019 du 12 septembre 2019 consid. 2.3), l'intéressé ayant à cet égard refusé de fournir tout certificat médical ou information détaillée au sujet de la maladie chronique dont il serait atteint. En tant qu'il se prévalait d'un " état de stress " et d'une " fatigabilité ", la cour cantonale pouvait valablement considérer que le stress occasionné par la procédure était fréquent pour les personnes impliquées dans une procédure pénale et ne saurait justifier à lui seul une vulnérabilité particulière. Au reste, dès lors que les trois enfants du recourant sont tous en âge scolaire, l'aîné étant même majeur, on ne voit pas qu'il pouvait se prévaloir de son statut de père ou, à tout le moins, de circonstances particulières nécessitant une présence auprès de ses enfants.</w:t>
      </w:r>
    </w:p>
    <w:p>
      <w:r>
        <w:rPr>
          <w:b/>
        </w:rPr>
        <w:t>E. 1.8</w:t>
      </w:r>
    </w:p>
    <w:p>
      <w:r>
        <w:t>Sur le vu de ce qui précède, la peine infligée au recourant n'est pas contraire au droit fédéral et doit être confirmée.</w:t>
      </w:r>
    </w:p>
    <w:p>
      <w:r>
        <w:rPr>
          <w:b/>
        </w:rPr>
        <w:t>E. 2</w:t>
      </w:r>
    </w:p>
    <w:p>
      <w:r>
        <w:t>Le recours doit dès lors être rejeté. Celui-ci étant dépourvu de chances de succès, l'assistance judiciaire doit être refusée ( art. 64 al. 1 LTF ). Le recourant, qui succombe, supporte les frais de la cause,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