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298/2019 vom 5. April 2019</w:t>
      </w:r>
    </w:p>
    <w:p>
      <w:r>
        <w:t>Bundesgericht, 2019-04-05, DE</w:t>
      </w:r>
    </w:p>
    <w:p>
      <w:r>
        <w:rPr>
          <w:b/>
        </w:rPr>
        <w:t xml:space="preserve">Quelle: </w:t>
      </w:r>
      <w:r>
        <w:t>https://mcp.opencaselaw.ch/entscheid/bger_6B_298_2019</w:t>
      </w:r>
    </w:p>
    <w:p>
      <w:r>
        <w:t>FR: TF 6B 298/2019 du 5 avril 2019</w:t>
      </w:r>
    </w:p>
    <w:p>
      <w:r>
        <w:t>IT: TF 6B 298/2019 del 5 aprile 2019</w:t>
      </w:r>
    </w:p>
    <w:p>
      <w:pPr>
        <w:pStyle w:val="Heading2"/>
      </w:pPr>
      <w:r>
        <w:t>Regeste</w:t>
      </w:r>
    </w:p>
    <w:p>
      <w:r>
        <w:t>Nichtanhandnahme (Diebstahl etc.); Nichteintreten | Strafprozess</w:t>
      </w:r>
    </w:p>
    <w:p>
      <w:pPr>
        <w:pStyle w:val="Heading2"/>
      </w:pPr>
      <w:r>
        <w:t>Erwägungen</w:t>
      </w:r>
    </w:p>
    <w:p>
      <w:r>
        <w:rPr>
          <w:b/>
        </w:rPr>
        <w:t>E. 1</w:t>
      </w:r>
    </w:p>
    <w:p>
      <w:r>
        <w:t>Die Staatsanwaltschaft Emmental-Oberaargau nahm am 11. Januar 2019 das vom Beschwerdeführer angestrebte Strafverfahren wegen Diebstahl, Sachbeschädigung und Hausfriedensbruch nicht an die Hand. Eine dagegen gerichtete Beschwerde wies das Obergericht des Kantons Bern mit Beschluss vom 13. Februar 2019 ab. Der Beschwerdeführer wendet sich mit Beschwerde in Strafsachen an das Bundesgericht.</w:t>
      </w:r>
    </w:p>
    <w:p>
      <w:r>
        <w:rPr>
          <w:b/>
        </w:rPr>
        <w:t>E. 2</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Sie hat vor Bundesgericht darzulegen, dass die Legitimationsvoraussetzungen erfüllt sind und unter Vorbehalt klarer, zweifelsfreier Fälle insbesondere zu erläutern, weshalb und inwiefern sich der angefochtene Entscheid im Ergebnis und aufgrund der Begründung negativ auf welche Zivilansprüche auswirken kann ( Art. 42 Abs. 1 und 2 BGG ). Der Beschwerdeführer äussert sich zur Frage seiner Legitimation nicht. Insbesondere sagt er nicht, auf welche Zivilforderung der angefochtene Entscheid sich auswirken könnte. Dies ergibt sich auch nicht klarerweise aus dem angeklagten Sachverhalt. Der Beschwerdeführer ist folglich in der Sache nicht zum vorliegenden Rechtsmittel legitimiert.</w:t>
      </w:r>
    </w:p>
    <w:p>
      <w:r>
        <w:rPr>
          <w:b/>
        </w:rPr>
        <w:t>E. 3</w:t>
      </w:r>
    </w:p>
    <w:p>
      <w:r>
        <w:t>Formelle Rügen, zu deren Vorbringen der Beschwerdeführer unbesehen der fehlenden Legitimation in der Sache befugt wäre (sog. "Star-Praxis"; vgl. BGE 141 IV 1 E. 1.1 mit Hinweisen), erhebt er nicht. Seine Vorbringen, Ermittlungen seien nicht geführt, die den Polizeibehörden übergebenen Unterlagen seien nicht gewürdigt und Tatsachen, die dem Verfahrenslauf widersprechen würden, seien nicht untersucht worden, zielen auf eine materielle Überprüfung der Sache ab, was unzulässig ist.</w:t>
      </w:r>
    </w:p>
    <w:p>
      <w:r>
        <w:rPr>
          <w:b/>
        </w:rPr>
        <w:t>E. 4</w:t>
      </w:r>
    </w:p>
    <w:p>
      <w:r>
        <w:t>Auf die Beschwerde ist im Verfahren nach Art. 108 BGG nicht einzutreten. Ausgangsgemäss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