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6B_298/2016 vom 21. März 2016</w:t>
      </w:r>
    </w:p>
    <w:p>
      <w:r>
        <w:t>Bundesgericht, 2016-03-21, DE</w:t>
      </w:r>
    </w:p>
    <w:p>
      <w:r>
        <w:rPr>
          <w:b/>
        </w:rPr>
        <w:t xml:space="preserve">Quelle: </w:t>
      </w:r>
      <w:r>
        <w:t>https://mcp.opencaselaw.ch/entscheid/bger_6B_298_2016</w:t>
      </w:r>
    </w:p>
    <w:p>
      <w:r>
        <w:t>FR: TF 6B_298/2016 du 21 mars 2016</w:t>
      </w:r>
    </w:p>
    <w:p>
      <w:r>
        <w:t>IT: TF 6B_298/2016 del 21 marzo 2016</w:t>
      </w:r>
    </w:p>
    <w:p>
      <w:pPr>
        <w:pStyle w:val="Heading2"/>
      </w:pPr>
      <w:r>
        <w:t>Erwägungen</w:t>
      </w:r>
    </w:p>
    <w:p>
      <w:r>
        <w:rPr>
          <w:b/>
        </w:rPr>
        <w:t>E. 1</w:t>
      </w:r>
    </w:p>
    <w:p>
      <w:r>
        <w:t>Das Obergericht des Kantons Zürich trat am 23. Februar 2016 auf eine als wirr und grösstenteils unverständlich eingestufte Beschwerde gegen eine Nichtanhandnahmeverfügung der Staatsanwaltschaft nicht ein. Die Beschwerdeführerin wendet sich mit einer 27 Seiten umfassenden Eingabe ans Bundesgericht. Darin werden kunterbunt die verschiedensten Themen abgehandelt, ohne dass auch nur einigermassen ersichtlich würde, um was es im kantonalen Verfahren konkret ging. Auf die Beschwerde ist mangels einer nachvollziehbaren Begründung im Verfahren nach Art. 108 BGG nicht einzutreten.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