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297/2019 vom 12. August 2019</w:t>
      </w:r>
    </w:p>
    <w:p>
      <w:r>
        <w:t>Bundesgericht, 2019-08-12, DE</w:t>
      </w:r>
    </w:p>
    <w:p>
      <w:r>
        <w:rPr>
          <w:b/>
        </w:rPr>
        <w:t xml:space="preserve">Quelle: </w:t>
      </w:r>
      <w:r>
        <w:t>https://mcp.opencaselaw.ch/entscheid/bger_6B_297_2019</w:t>
      </w:r>
    </w:p>
    <w:p>
      <w:r>
        <w:t>FR: TF 6B 297/2019 du 12 août 2019</w:t>
      </w:r>
    </w:p>
    <w:p>
      <w:r>
        <w:t>IT: TF 6B 297/2019 del 12 agosto 2019</w:t>
      </w:r>
    </w:p>
    <w:p>
      <w:pPr>
        <w:pStyle w:val="Heading2"/>
      </w:pPr>
      <w:r>
        <w:t>Regeste</w:t>
      </w:r>
    </w:p>
    <w:p>
      <w:r>
        <w:t>Einstellungsverfügung (Nötigung) | Strafprozess</w:t>
      </w:r>
    </w:p>
    <w:p>
      <w:pPr>
        <w:pStyle w:val="Heading2"/>
      </w:pPr>
      <w:r>
        <w:t>Erwägungen</w:t>
      </w:r>
    </w:p>
    <w:p>
      <w:r>
        <w:rPr>
          <w:b/>
        </w:rPr>
        <w:t>E. 1</w:t>
      </w:r>
    </w:p>
    <w:p>
      <w:r>
        <w:t>A.________ erstattete am 2. März 2018 Strafanzeige gegen X.________ wegen Nötigung. Dieser habe sie am 23. Oktober 2017 aufgefordert, eine von ihr auf Google publizierte Rezension innert 48 Stunden zu entfernen, ansonsten würden zivil- und strafrechtliche Schritte eingeleitet werden. Die Staatsanwaltschaft verfügte am 17. September 2018 die Einstellung des Verfahrens.</w:t>
      </w:r>
    </w:p>
    <w:p>
      <w:r>
        <w:rPr>
          <w:b/>
        </w:rPr>
        <w:t>E. 2</w:t>
      </w:r>
    </w:p>
    <w:p>
      <w:r>
        <w:t>A.________ erhob Beschwerde gegen die Einstellungsverfügung. Das Kantonsgericht Luzern wies diese am 21. Januar 2019 ab.</w:t>
      </w:r>
    </w:p>
    <w:p>
      <w:r>
        <w:rPr>
          <w:b/>
        </w:rPr>
        <w:t>E. 3</w:t>
      </w:r>
    </w:p>
    <w:p>
      <w:r>
        <w:t>A.________ führt Beschwerde in Strafsachen. Sie beantragt, der Beschluss des Obergerichts und die Verfügung der Staatsanwaltschaft seien aufzuheben und die Sache sei zur Wiederaufnahme des Strafverfahrens an die Staatsanwaltschaft zurückzuweisen. Letztere sei sogleich anzuweisen, das Verfahren gegen X.________ zu sistieren, bis in dem gegen sie gerichteten Strafverfahren ein rechtskräftiger Entscheid vorliege. Eventualiter sei die Sache zu neuer Entscheidung an die Vorinstanz zurückzuweisen.</w:t>
      </w:r>
    </w:p>
    <w:p>
      <w:r>
        <w:rPr>
          <w:b/>
        </w:rPr>
        <w:t>E. 4.1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Urteil 6B_611/2017 vom 9. März 2018 E. 1.1; je mit Hinweisen). Eine Genugtuung nach Art. 49 OR ist nur geschuldet, sofern die Schwere der Persönlichkeitsverletzung es rechtfertigt. Die Verletzung der Persönlichkeit muss damit eine gewisse Intensität erreichen. Sie muss sich als objektiv und subjektiv schwer qualifizieren. Daraus folgt, dass nicht jede noch so geringfügige Beeinträchtigung der Persönlichkeit als rechtlich relevante Verletzung im Sinne von Art. 49 OR verstanden werden kann. Leichte Persönlichkeitsverletzungen, wie beispielsweise unbedeutende Ehrverletzungen, rechtfertigen deshalb von vornherein keine finanzielle Genugtuung. Inwiefern die Persönlichkeitsverletzung objektiv und subjektiv schwer wiege, ist daher in der Beschwerde darzulegen ( BGE 129 III 715 E. 4.4; Urteile 6B_495/2017 vom 26. Juli 2017 E. 1.2; 6B_995/2016 vom 14. März 2017 E. 3.1; je mit Hinweisen).</w:t>
      </w:r>
    </w:p>
    <w:p>
      <w:r>
        <w:rPr>
          <w:b/>
        </w:rPr>
        <w:t>E. 4.2</w:t>
      </w:r>
    </w:p>
    <w:p>
      <w:r>
        <w:t>Zu ihrer Legitimation führt die Beschwerdeführerin aus, dass sich die Verurteilung des Beschwerdegegners unweigerlich auf ihre Zivilansprüche als Privatklägerin auswirken werde. Dass sie ihre Zivilansprüche noch nicht beziffert habe, ändere daran nichts (Beschwerde, S. 5). Damit legt die Beschwerdeführerin nicht dar, durch die angebliche Nötigung einen Schaden oder eine Persönlichkeitsverletzung, welche aufgrund ihrer Schwere eine Genugtuung rechtfertigen würde, erlitten zu haben.</w:t>
      </w:r>
    </w:p>
    <w:p>
      <w:r>
        <w:rPr>
          <w:b/>
        </w:rPr>
        <w:t>E. 4.3</w:t>
      </w:r>
    </w:p>
    <w:p>
      <w:r>
        <w:t>Die Beschwerdeführerin rügt zudem einen Ermessensmissbrauch sowie eine Verletzung von Art. 29a und Art. 30 BV , zumal sich die Vorinstanz von falschen Erwägungen habe leiten lassen (Beschwerde, S. 5 und 9 f.). Eine nähere Begründung, weshalb dies - über eine blosse Unzulässigkeit der Verfahrenseinstellung hinaus - der Fall sein sollte, ist der Beschwerde nicht zu entnehmen. Diese Rügen entziehen sich damit einer von der Sache getrennten Prüfung und sind unzulässig.</w:t>
      </w:r>
    </w:p>
    <w:p>
      <w:r>
        <w:rPr>
          <w:b/>
        </w:rPr>
        <w:t>E. 5</w:t>
      </w:r>
    </w:p>
    <w:p>
      <w:r>
        <w:t>Auf die Beschwerde ist nicht einzutreten. Die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