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6B_297/2008 vom 19. Juni 2008</w:t>
      </w:r>
    </w:p>
    <w:p>
      <w:r>
        <w:t>Bundesgericht, 2008-06-19, FR</w:t>
      </w:r>
    </w:p>
    <w:p>
      <w:r>
        <w:rPr>
          <w:b/>
        </w:rPr>
        <w:t xml:space="preserve">Quelle: </w:t>
      </w:r>
      <w:r>
        <w:t>https://mcp.opencaselaw.ch/entscheid/bger_6B_297_2008</w:t>
      </w:r>
    </w:p>
    <w:p>
      <w:r>
        <w:t>FR: TF 6B_297/2008 du 19 juin 2008</w:t>
      </w:r>
    </w:p>
    <w:p>
      <w:r>
        <w:t>IT: TF 6B_297/2008 del 19 giugno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t>Recours de A.________</w:t>
      </w:r>
    </w:p>
    <w:p>
      <w:r>
        <w:rPr>
          <w:b/>
        </w:rPr>
        <w:t>E. 2</w:t>
      </w:r>
    </w:p>
    <w:p>
      <w:r>
        <w:t>Le recourant met en cause la quotité de la peine, en particulier l'aggravation de celle-ci retenue par les juges cantonaux au double motif qu'il aurait repris le trafic de stupéfiants dès sa mise en semi-liberté en 2003 et que, partant, il s'y serait adonné pendant plus de deux ans. Se prévalant d'arbitraire dans l'appréciation des preuves et l'établissement des faits pertinents, il fait valoir qu'à l'exception de C.________, aucun des vingt protagonistes entendus en procédure d'instruction ne le met en cause pour trafic de stupéfiants avant l'automne 2005. Il en infère que faute de preuve, aucune infraction ne lui est imputable avant l'automne 2005 et que la durée du trafic s'avère de fait inférieure à une année. En tout état de cause, il considère que l'aggravation de sa peine pour récidive commise aussitôt après avoir recouvré la semi-liberté en 2003 ne saurait être confirmée, dès lors qu'il n'a été mis au bénéfice de ce régime qu'à compter du 13 juin 2004.</w:t>
      </w:r>
    </w:p>
    <w:p>
      <w:r>
        <w:rPr>
          <w:b/>
        </w:rPr>
        <w:t>E. 3</w:t>
      </w:r>
    </w:p>
    <w:p>
      <w:r>
        <w:t>Ce faisant, le recourant ne développe aucun motif justifiant de renoncer à la créance compensatrice au sens de l' art. 71 al. 2 CP . Faute de répondre aux exigences de motivation ( art. 42 al. 1 LTF ), cette conclusion est irrecevable ( art. 108 al. 1 let. b LTF ).</w:t>
      </w:r>
    </w:p>
    <w:p>
      <w:r>
        <w:rPr>
          <w:b/>
        </w:rPr>
        <w:t>E. 4</w:t>
      </w:r>
    </w:p>
    <w:p>
      <w:r>
        <w:t>S'agissant des déclarations de C.________, leur valeur probante ne saurait être niée au seul motif qu'elles ne sont corroborées par aucune des autres dépositions figurant au dossier, cela d'autant plus que le recourant a expressément admis avoir livré trente à quarante g de cocaïne au prénommé dès 2003 (p. 2 du procès-verbal d'audition de A.________ du 12 avril 2006 [pce 27]). Cela étant, les juges cantonaux n'ont pas procédé à une appréciation arbitraire des preuves.</w:t>
      </w:r>
    </w:p>
    <w:p>
      <w:r>
        <w:rPr>
          <w:b/>
        </w:rPr>
        <w:t>E. 5</w:t>
      </w:r>
    </w:p>
    <w:p>
      <w:r>
        <w:t>Le recourant conteste ensuite la peine qui lui a été infligée.</w:t>
      </w:r>
    </w:p>
    <w:p>
      <w:r>
        <w:rPr>
          <w:b/>
        </w:rPr>
        <w:t>E. 5.1</w:t>
      </w:r>
    </w:p>
    <w:p>
      <w:r>
        <w:t>L'infraction réprimée par l' art. 19 ch. 2 LStup est passible d'une peine privative de liberté d'un an au moins, susceptible d'être cumulée avec une amende (art. 19 ch. 1 dernier alinéa LStup; art. 19 ch. 1 dernier alinéa aLStup), son maximum étant de 20 ans ( art. 40 CP ; art. 35 aCP). 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5.1.1</w:t>
      </w:r>
    </w:p>
    <w:p>
      <w:r>
        <w:t>Comme dans l'ancien droit, le critère essentiel est celui de la faute. L'al. 1 reprend les critères des antécédents ainsi que de la situation personnelle et y ajoute la nécessité de prendre en considération l'effet de la peine sur l'avenir du condamné. Ce dernier critère correspond à la jurisprudence rendue sous l'ancien art. 63 CP , selon laquelle le juge doit éviter les sanctions qui pourraient détourner l'intéressé de l'évolution souhaitable ( ATF 128 IV 73 consid. 4 p. 79; 127 IV 97 consid. 3 p. 101). Que ce soit sous l'ancien ou le nouveau droit, cet aspect de prévention spéciale ne permet toutefois que des corrections marginales, la peine devant toujours rester proportionnée à la faute (Stratenwerth, Schweizerisches Strafrecht, Allgemeiner Teil II: Strafen und Massnahmen, 2e éd., Berne 2006, § 6, n. 72; Stratenwerth/ Wohlers, Handkommentar, art. 47, n. 17 et 18; Schwarzenegger/Hug/ Jositsch, Strafrecht II, Strafen und Massnahmen, 8e éd., Zurich 2007, p. 104).</w:t>
      </w:r>
    </w:p>
    <w:p>
      <w:r>
        <w:rPr>
          <w:b/>
        </w:rPr>
        <w:t>E. 5.1.2</w:t>
      </w:r>
    </w:p>
    <w:p>
      <w:r>
        <w:t>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p. 20).</w:t>
      </w:r>
    </w:p>
    <w:p>
      <w:r>
        <w:t>En matière de trafic de stupéfiants, il y a lieu de tenir compte, plus spécialement, des circonstances suivantes.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qu'elle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6S.21/2002 du 17 avril 2002 consid. 2).</w:t>
      </w:r>
    </w:p>
    <w:p>
      <w:r>
        <w:t>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w:t>
      </w:r>
    </w:p>
    <w:p>
      <w:r>
        <w:rPr>
          <w:b/>
        </w:rPr>
        <w:t>E. 5.1.3</w:t>
      </w:r>
    </w:p>
    <w:p>
      <w:r>
        <w:t>L' art. 47 CP laisse au juge un large pouvoir d'appréciation, de sorte que le Tribunal fédéral n'admet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5.2</w:t>
      </w:r>
    </w:p>
    <w:p>
      <w:r>
        <w:t>Le Tribunal correctionnel de la Côte a condamné le recourant à une peine privative de liberté de huit ans dont un an et demi au titre de la réintégration, qualifiant sa culpabilité de particulièrement lourde. En effet, malgré une première condamnation à quatre ans de réclusion pour avoir transporté douze kg d'héroïne, celui-ci récidivait peu après sa libération conditionnelle. Il reprenait alors le trafic de stupéfiants à une échelle excédant une nouvelle fois et largement la limite du cas grave. En outre, il s'assurait la complicité de trois comparses et n'hésitait pas à se réapprovisionner directement auprès d'un fournisseur établi en Allemagne. Cela étant, les juges ne lui ont reconnu aucune circonstance atténuante, précisant que le manque de ressources économiques au moment de sa libération ne justifiait d'aucune manière ses agissements délictueux. La Cour de cassation pénale a retenu qu'il avait ainsi cumulé les facteurs aggravants, de sorte qu'il y avait lieu de lui imputer une lourde culpabilité.</w:t>
      </w:r>
    </w:p>
    <w:p>
      <w:r>
        <w:t>A.________ ayant été condamné pour trafic de stupéfiants la première fois par jugement du 28 août 2003 confirmé le 1er décembre suivant, les juges cantonaux ont à juste titre aggravé la quotité de sa peine pour récidive s'agissant des infractions commises en 2005. C'est par contre à tort qu'ils l'ont retenue pour celles recensées entre janvier et avril 2003, étant rappelé qu'il s'agissait, par rapport à l'ensemble, d'infractions de moindre importance. C'est également à tort qu'ils ont considéré que le condamné avait bénéficié du régime de la semi-liberté dans le courant de l'année 2003. Ces circonstances ne sont toutefois pas propres à influer sur la peine infligée à l'intéressé. En effet, une première condamnation à quatre années de réclusion n'a pas dissuadé A.________ de reprendre le trafic de stupéfiants. Il a récidivé aussitôt qu'il en a eu l'opportunité, à savoir dès sa libération conditionnelle en janvier 2005, et cela même après avoir retrouvé un emploi (cf. p. 3 du mémoire de recours cantonal). Il ne s'est alors plus borné à jouer les intermédiaires, mais a participé activement au trafic de stupéfiants, se rendant jusqu'en Allemagne afin d'y convenir de l'importation de 98,2 g de cocaïne pure et de 450 g de haschich. Ce faisant, il a démontré une intention délictueuse fermement établie. Sur le vu de ce qui précède, la quotité de la peine retenue par les autorités cantonales n'apparaît pas exagérément sévère au point que l'on doive parler d'un abus du pouvoir d'appréciation. Le grief soulevé par le recourant est mal fondé.</w:t>
      </w:r>
    </w:p>
    <w:p>
      <w:r>
        <w:rPr>
          <w:b/>
        </w:rPr>
        <w:t>E. 6</w:t>
      </w:r>
    </w:p>
    <w:p>
      <w:r>
        <w:t>Dans la mesure où il est recevable, le recours de A.________ doit être rejeté. Comme ses conclusions étaient d'emblée vouées à l'échec, l'assistance judiciaire ne peut pas lui être accordée ( art. 64 al. 1 LTF ). Il devra donc supporter les frais judiciaires, dont le montant sera toutefois arrêté au regard de sa situation économique (art. 65 al. 2 et 66 al. 1 LTF).</w:t>
      </w:r>
    </w:p>
    <w:p>
      <w:r>
        <w:t>Recours de B.________</w:t>
      </w:r>
    </w:p>
    <w:p>
      <w:r>
        <w:rPr>
          <w:b/>
        </w:rPr>
        <w:t>E. 7.1</w:t>
      </w:r>
    </w:p>
    <w:p>
      <w:r>
        <w:t>La recourante, qui est habilitée à former un recours en matière pénale en sa qualité d'avocate d'office de l'accusé ( art. 81 al. 1 LTF ), met en cause le montant de son indemnité d'office.</w:t>
      </w:r>
    </w:p>
    <w:p>
      <w:r>
        <w:rPr>
          <w:b/>
        </w:rPr>
        <w:t>E. 7.2</w:t>
      </w:r>
    </w:p>
    <w:p>
      <w:r>
        <w:t>Selon la jurisprudence, la fixation de l'indemnité allouée à l'avocat d'office pour son activité devant les juridictions cantonales relève en principe du droit cantonal ( ATF 132 I 201 consid. 7.2 et 7.3 p. 205 et 206;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En principe, elle devrait couvrir les frais généraux de l'avocat, dont on estime qu'ils correspondent d'ordinaire à au moins 40% du revenu professionnel brut, voire à la moitié de celui-ci ( ATF 122 I 1 consid. 3a et 3c p. 2 et 3 et les références citées; voir aussi ATF 122 I 322 consid. 3b p. 325).</w:t>
      </w:r>
    </w:p>
    <w:p>
      <w:r>
        <w:t>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p. 2 et les arrêts cités). Enfin, il ne suffit pas que l'autorité ait apprécié de manière erronée un poste de l'état des frais ou qu'elle se soit fondée sur un argument déraisonnable; encore faut-il que le montant global alloué à titre d'indemnité se révèle arbitraire au sens de la jurisprudence constamment rappelée ( ATF 133 I 149 consid. 3.1 p. 153 et les arrêts cités), à laquelle il convient de se référer.</w:t>
      </w:r>
    </w:p>
    <w:p>
      <w:r>
        <w:rPr>
          <w:b/>
        </w:rPr>
        <w:t>E. 7.3</w:t>
      </w:r>
    </w:p>
    <w:p>
      <w:r>
        <w:t>En l'espèce la recourante demande à ce que l'indemnité d'office calculée par les autorités cantonales sur la base d'un tarif horaire de 110 fr. soit augmentée de la TVA au regard de son statut au sein de l'étude où elle accomplit son stage. Par ailleurs, elle conteste le nombre des visites au prévenu réduit par les juges de quinze à dix. Elle considère en effet s'être strictement conformée aux recommandations adressées aux avocats-stagiaires, en lui accordant un entretien mensuel. Elle ajoute que celui-ci l'a de plus sollicitée à plusieurs reprises pour des motifs afférents à son incarcération, à des problèmes médicaux, à une demande d'exécution anticipée de peine ou encore à la mise en oeuvre d'une expertise psychiatrique et que pour préparer le procès du prévenu, elle avait de surcroît été contrainte de se déplacer jusqu'à Sion où celui-ci avait été transféré deux mois avant la tenue de l'audience. En outre, elle estime que les autorités cantonales ont sous-évalué les heures nécessaires à la rédaction de correspondances, à l'étude du dossier, à la préparation de la défense du prévenu et à la copie de pièces. En particulier, elle leur reproche de n'avoir pas tenu compte du fait qu'usuellement, les avocats-stagiaires exécutent personnellement les tâches de secrétariat. Enfin, elle réclame l'octroi de 1339 fr. 65 à titre de débours pour ses frais de déplacements, de ports et de copies. Elle expose que ces deux derniers postes ne constituent pas des frais généraux compris dans le tarif horaire des avocats et qu'il n'a pas été tenu compte de son déplacement à Sion.</w:t>
      </w:r>
    </w:p>
    <w:p>
      <w:r>
        <w:t>La recourante se borne ainsi à opposer son appréciation des circonstances à celle des autorités cantonales. Elle fait valoir des griefs s'apparentant à des critiques de nature appellatoire et ne démontre pas d'une manière conforme aux exigences de motivation en quoi la Cour cantonale aurait procédé à une application arbitraire des dispositions de droit cantonal régissant la fixation de l'indemnité d'office ( art. 106 al. 2 LTF ). Quoi qu'il en soit, il n'est pas déraisonnable en l'espèce de considérer qu'une visite mensuelle au client ne se justifiait pas au regard de la nature, de l'importance ainsi que des difficultés de la cause et en particulier de l'évolution de l'instruction au cours de la détention préventive du prévenu. De même, il n'apparaît pas insoutenable de qualifier d'excessive la facturation de cinq minutes d'honoraires d'avocat pour l'établissement de chaque photocopie, de dix minutes pour celui de courriers qui n'en nécessitent que deux ou trois dans certains cas, ainsi que de sept heures à la seule étude du dossier, fût-il constitué de trois classeurs fédéraux, deux d'entre eux compilant principalement des procès-verbaux d'auditions et des protocoles de conversations qui se consultent rapidement et sans difficultés particulières. La fixation de l'indemnité de débours à 500 fr. dont 240 fr. retenus pour les frais de déplacements ne ressortit pas non plus d'une appréciation arbitraire de la Cour cantonale. En particulier, l'intéressée ne saurait tirer argument du déplacement qu'elle a entrepris jusqu'à Sion afin d'y préparer le procès du prévenu, la tenue d'une telle conférence deux mois avant l'audience se révélant pour le moins anticipée. Au reste, B.________ ne conteste pas le tarif appliqué par les autorités cantonales. Sur le vu de ce qui précède, il n'apparaît pas que ces dernières aient abusé ou excédé de leur pouvoir d'appréciation en procédant à la fixation de l'indemnité d'office de la recourante.</w:t>
      </w:r>
    </w:p>
    <w:p>
      <w:r>
        <w:rPr>
          <w:b/>
        </w:rPr>
        <w:t>E. 8</w:t>
      </w:r>
    </w:p>
    <w:p>
      <w:r>
        <w:t>Le recours de B.________ est ainsi rejeté dans la mesure où il est recevable. Comme ses conclusions étaient d'emblée vouées à l'échec, l'assistance judiciaire ne peut lui être accordée ( art. 64 al. 1 LTF ). La recourante devra donc supporter les frais, dont le montant sera toutefois arrêté en tenant compte de sa situation financière (art. 65 al. 2 et 66 al. 1 LTF).</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