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295/2022 vom 15. September 2022</w:t>
      </w:r>
    </w:p>
    <w:p>
      <w:r>
        <w:t>Bundesgericht, 2022-09-15, FR</w:t>
      </w:r>
    </w:p>
    <w:p>
      <w:r>
        <w:rPr>
          <w:b/>
        </w:rPr>
        <w:t xml:space="preserve">Quelle: </w:t>
      </w:r>
      <w:r>
        <w:t>https://mcp.opencaselaw.ch/entscheid/bger_6B_295_2022</w:t>
      </w:r>
    </w:p>
    <w:p>
      <w:r>
        <w:t>FR: TF 6B 295/2022 du 15 septembre 2022</w:t>
      </w:r>
    </w:p>
    <w:p>
      <w:r>
        <w:t>IT: TF 6B 295/2022 del 15 settembre 2022</w:t>
      </w:r>
    </w:p>
    <w:p>
      <w:pPr>
        <w:pStyle w:val="Heading2"/>
      </w:pPr>
      <w:r>
        <w:t>Regeste</w:t>
      </w:r>
    </w:p>
    <w:p>
      <w:r>
        <w:t>Blanchiment d'argent, sursis | Infractions</w:t>
      </w:r>
    </w:p>
    <w:p>
      <w:pPr>
        <w:pStyle w:val="Heading2"/>
      </w:pPr>
      <w:r>
        <w:t>Erwägungen</w:t>
      </w:r>
    </w:p>
    <w:p>
      <w:r>
        <w:rPr>
          <w:b/>
        </w:rPr>
        <w:t>E. 1</w:t>
      </w:r>
    </w:p>
    <w:p>
      <w:r>
        <w:t>Le recourant ne s'oppose d'aucune manière à sa condamnation des chefs d'escroquerie et de faux dans les titres. Seule l'infraction de blanchiment d'argent est discutée en l'espèce. Le recourant conteste avoir commis un acte d'entrave et estime que l'élément constitutif subjectif n'est pas réalisé. Il se plaint, dans ce contexte, d'une violation de la présomption d'innocence et de son corolaire le principe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 La présomption d'innocence, garantie par les art. 10 CPP , 32 al. 1 Cst., 14 par. 2 Pacte ONU II et 6 par. 2 CEDH, ainsi que son corollaire, le principe "in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w:t>
      </w:r>
    </w:p>
    <w:p>
      <w:r>
        <w:rPr>
          <w:b/>
        </w:rPr>
        <w:t>E. 1.2</w:t>
      </w:r>
    </w:p>
    <w:p>
      <w:r>
        <w:t>Selon l' art. 305 bis ch. 1 CP , est puni d'une peine privative de liberté de trois ans au plus ou d'une peine pécuniaire, notamment celui qui aura commis un acte propre à entraver l'identification de l'origine, la découverte ou la confiscation de valeurs patrimoniales dont il savait ou devait présumer qu'elles provenaient d'un crime. 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120 IV 323 consid. 3d; arrêt 6B_367/2020 du 17 janvier 2022 consid. 12.1). Conformément à la jurisprudence, l'infraction de blanchiment d'argent est également réalisée lorsque l'auteur blanchit des valeurs patrimoniales qu'il a lui-même obtenues par la commission d'un crime ( ATF 144 IV 172 consid. 7.2; 128 IV 117 consid. 7a).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 ATF 144 IV 172 consid. 7.2.2). L'acte d'entrave peut être constitué par n'importe quel comportement propre à faire obstacle à l'identification de l'origine, la découverte ou la confiscation de la valeur patrimoniale provenant d'un crime ( ATF 136 IV 188 consid. 6.1 et les références citées; arrêts 6B_807/2021 du 7 juin 2022 consid. 7.1; 6B_367/2020 du 17 janvier 2022 consid. 12.1). Il n'est pas nécessaire que l'intéressé l'ait effectivement entravé, le blanchiment d'argent étant une infraction de mise en danger abstraite, punissable indépendamment de la survenance d'un résultat ( ATF 136 IV 188 consid. 6.1; 128 IV 117 consid. 7a; arrêt 6B_649/2015 du 4 mai 2016 consid. 1.1). Le prélèvement de valeurs patrimoniales en espèces représente habituellement un acte de blanchiment, puisque les mouvements des avoirs ne peuvent plus être suivis au moyen de documents bancaires (arrêts 6B_261/2020 et 6B_270/2020 du 10 juin 2020 consid. 5.1; 6B_649/2015 du 4 mai 2016 consid. 1.4; 6B_900/2009 du 21 octobre 2010 consid. 4.3 non publié in ATF 136 IV 179 et les références citées).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119 IV 242 consid. 2b; arrêts 6B_807/2021 précité consid. 7.1; 6B_367/2020 précité consid. 12.1).</w:t>
      </w:r>
    </w:p>
    <w:p>
      <w:r>
        <w:rPr>
          <w:b/>
        </w:rPr>
        <w:t>E. 1.3</w:t>
      </w:r>
    </w:p>
    <w:p>
      <w:r>
        <w:t>La cour cantonale a retenu que le recourant avait retiré en espèces la somme de 64'950 fr. de son compte et considéré qu'il avait ainsi entravé toute possibilité de confiscation par l'autorité pénale de ce montant. En remettant une partie en cash à son frère et en utilisant le solde pour rembourser ses dettes privées, il s'était accommodé du fait que les sommes obtenues par son escroquerie ne puissent être récupérées par l'autorité judiciaire.</w:t>
      </w:r>
    </w:p>
    <w:p>
      <w:r>
        <w:rPr>
          <w:b/>
        </w:rPr>
        <w:t>E. 1.4</w:t>
      </w:r>
    </w:p>
    <w:p>
      <w:r>
        <w:t>Le recourant ne conteste pas que les valeurs patrimoniales litigieuses proviennent d'un crime au sens de l' art. 10 al. 2 CP . Il soutient toutefois que la consommation de patrimoine ne saurait constituer un acte d'entrave. Sur le plan subjectif, il fait valoir qu'il n'avait pas l'intention d'entraver l'identification des fonds, mais uniquement d'améliorer sa situation financière privée en diminuant ses dettes auprès de tiers. Il en veut pour preuve qu'il a replacé le solde des fonds prélevés sur le compte bancaire concerné et qu'il n'a pas retiré l'intégralité du prêt, puisqu'au 3 avril 2020 il serait resté un solde de 2'450 fr. 42, dont 1'750 fr. issus du prêt COVID-19. Il ajoute qu'une légère incertitude demeurerait s'agissant de la provenance des 35'000 fr. [recte: 37'000 fr.] et qu'elle suffirait à considérer que la cour cantonale est tombée dans l'arbitraire en le condamnant pour blanchiment d'argent. Cela étant, le recourant admet avoir effectué le retrait en espèces (faisant état d'un retrait de 80'000 fr.) le 2 avril 2020, et ne conteste pas avoir divisé la somme à tout le moins en 8 parts pour rembourser notamment différentes dettes personnelles et pour l'acquisition de matériel destiné à la rénovation d'un restaurant appartenant à un tiers, auquel il a également remis en cash une partie de la somme. Ce comportement était propre à faire obstacle à l'identification de l'origine, la découverte ou la confiscation du montant en cause, les mouvements des valeurs ne pouvant plus être suivis au moyen de documents bancaires. Dans ces circonstances, la cour cantonale pouvait, sans violer le droit fédéral, considérer que le recourant avait commis un acte d'entrave visé par l' art. 305bis CP , étant rappelé qu'il s'agit d'une infraction de mise en danger abstraite ( cf. supra consid. 1.2). Quant à l'élément constitutif subjectif de l'infraction, le recourant ne tente pas de démontrer l'arbitraire de la constatation selon laquelle il avait à tout le moins accepté que son comportement était propre à provoquer l'entrave prohibée (cf. sur les faits "internes", notamment ATF 141 IV 369 consid. 6.3). En tout état, les juges cantonaux pouvaient, sans arbitraire, considérer qu'en prélevant les fonds en espèces pour rembourser des dettes personnelles ou les remettre en cash à des tiers, le recourant s'accommodait du fait que les sommes correspondantes ne puissent plus être identifiées par les autorités compétentes. Le retrait partiel du prêt COVID-19 alloué ou le fait de redéposer une partie du montant initialement prélevé ne changent rien à l'appréciation qui précède. Il en va de même du fait que sa volonté était d'améliorer sa situation financière privée en diminuant ses dettes auprès de tiers. Cette volonté ne rend pas insoutenable la constatation selon laquelle il avait conscience et s'était accommodée du fait que les mouvements des avoirs ne seraient plus suivis et que les sommes en question n'étaient plus traçables. Pour le surplus, il n'oppose aucune critique au raisonnement cantonal dont il ressort qu'il s'était accommodé de la provenance criminelle des fonds. Enfin, on peine à comprendre en quoi l'origine des 37'000 fr. prétendument reversés sur son compte aurait vocation à influencer le sort de la présente cause, cette question n'étant pertinente que dans le contexte de la levée de séquestre (cf. jugement attaqué p. 26 consid. 8.3). Le recourant ne conteste pas que les autres éléments constitutifs de l'infraction soient réalisés. Partant, ce grief, infondé, doit être rejeté.</w:t>
      </w:r>
    </w:p>
    <w:p>
      <w:r>
        <w:rPr>
          <w:b/>
        </w:rPr>
        <w:t>E. 2</w:t>
      </w:r>
    </w:p>
    <w:p>
      <w:r>
        <w:t>Le recourant conclut au prononcé d'une peine privative de liberté plus clémente voire d'une peine pécuniaire, comme conséquence de son acquittement du chef de prévention de blanchiment d'argent. Comme il n'obtient pas cet acquittement (cf. supra consid. 1), son grief est sans objet. Pour le surplus, il n'élève aucune critique déduite des art. 47 ss CP régissant la fixation de la peine.</w:t>
      </w:r>
    </w:p>
    <w:p>
      <w:r>
        <w:rPr>
          <w:b/>
        </w:rPr>
        <w:t>E. 3</w:t>
      </w:r>
    </w:p>
    <w:p>
      <w:r>
        <w:t>Le recourant demande à ce que sa peine soit assortie du sursis complet.</w:t>
      </w:r>
    </w:p>
    <w:p>
      <w:r>
        <w:rPr>
          <w:b/>
        </w:rPr>
        <w:t>E. 3.1</w:t>
      </w:r>
    </w:p>
    <w:p>
      <w:r>
        <w:t>Le juge suspend en règle générale l'exécution d'une peine privative de liberté de deux ans au plus lorsqu'une peine ferme ne paraît pas nécessaire pour détourner l'auteur d'autres crimes ou délits ( art. 42 al. 1 CP ). Le juge peut suspendre partiellement l'exécution d'une peine privative de liberté d'un an au moins et de trois ans au plus afin de tenir compte de façon appropriée de la faute de l'auteur ( art. 43 al. 1 CP ). 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cf. ATF 134 IV 1 consid. 5.3.1). Selon la jurisprudence, les conditions subjectives auxquelles l' art. 42 CP soumet l'octroi du sursis intégral s'appliquent également à l'octroi du sursis partiel ( ATF 139 IV 270 consid. 3.3; 134 IV 1 consid. 5.3.1; arrêt 6B_653/2021 du 10 février 2022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arrêt 6B_906/2019 du 7 mai 2020 consid. 2.1). Le défaut de prise de conscience de la faute peut justifier un pronostic défavorable, car seul celui qui se repent de son acte mérite la confiance que l'on doit pouvoir accorder au condamné bénéficiant d'un sursis (arrêts 6B_1175/2021 du 23 mai 2022 consid. 1.1; 6B_653/2021 du 10 février 2022 consid. 2.1; 6B_154/2021 du 17 novembre 2021 consid. 7.1 et les références citées). Dans l'émission du pronostic, le juge dispose d'un large pouvoir d'appréciation, de sorte que le Tribunal fédéral n'intervient qu'en cas d'abus ou d'excès de ce pouvoir ( ATF 145 IV 137 consid. 2.2).</w:t>
      </w:r>
    </w:p>
    <w:p>
      <w:r>
        <w:rPr>
          <w:b/>
        </w:rPr>
        <w:t>E. 3.2</w:t>
      </w:r>
    </w:p>
    <w:p>
      <w:r>
        <w:t>La cour cantonale a considéré que le prononcé du sursis partiel était judicieux, compte tenu, d'une part, des récidives du recourant, de ses vaines dénégations qui trahissaient une absence de prise de conscience et de l'effet choc qu'exercerait l'exécution d'une partie de la peine privative de liberté, ainsi que, d'autre part, le remboursement de la partie plaignante entamé par le recourant.</w:t>
      </w:r>
    </w:p>
    <w:p>
      <w:r>
        <w:rPr>
          <w:b/>
        </w:rPr>
        <w:t>E. 3.3</w:t>
      </w:r>
    </w:p>
    <w:p>
      <w:r>
        <w:t>Le recourant déduit de son engagement à rembourser le prêt obtenu à hauteur de 1'600 fr. par mois, une prise de conscience de la gravité de ses actes. Ce faisant, il procède de manière purement appellatoire, partant irrecevable. En tout état, la cour cantonale n'a pas ignoré la convention de remboursement par acomptes mensuels (cf. jugement entrepris ch. 2.2.2) et en a expressément tenu compte comme un critère favorable. Cela étant, le recourant ne conteste pas que son comportement durant la procédure trahissait une absence de prise de conscience, aspect pourtant déterminant dans l'appréciation opérée par la cour cantonale. Quant à ses antécédents, il s'écarte de manière inadmissible des faits établis par l'autorité précédente en prétendant que sa première condamnation daterait de plus de 10 ans (cf. art. 105 al. 1 LTF ; supra let. B.e). Quoiqu'il en soit, il semble se référer au moment de la commission de l'infraction et n'invoque aucune violation de l' art. 369 CP sur ce point (élimination de l'inscription au casier judiciaire). S'agissant de la seconde condamnation, portant sur des lésions corporelles par négligence, le recourant prétend que l'on ne peut en déduire aucun esprit délictuel car elle était consécutive à un accident de la route. Il n'en demeure pas moins que les infractions intentionnelles retenues en l'espèce font suite à deux condamnations pénales précédentes. Au vu des circonstances évoquées, essentiellement le comportement du recourant en procédure et ses deux antécédents judiciaires, les juges cantonaux pouvaient, sans violer le droit fédéral, admettre que, même si elles ne faisaient pas concrètement craindre une récidive, il existait de sérieux doutes sur les perspectives d'amendement du recourant. La cour cantonale a procédé à une appréciation d'ensemble dûment motivée et le recourant n'a aucunement démontré en quoi celle-là aurait outrepassé le large pouvoir d'appréciation dont elle dispose dans l'établissement du pronostic. Il est rappelé en outre que, contrairement à ce que semble penser le recourant, les juges cantonaux ne devaient pas et n'entendaient d'ailleurs pas établir l'existence d'un pronostic défavorable in casu . En effet, dans une telle hypothèse, même l'octroi du sursis partiel aurait été exclu (cf. supra consid. 3.1).</w:t>
      </w:r>
    </w:p>
    <w:p>
      <w:r>
        <w:rPr>
          <w:b/>
        </w:rPr>
        <w:t>E. 4</w:t>
      </w:r>
    </w:p>
    <w:p>
      <w:r>
        <w:t>Au vu de ce qui précède, le recours doit être rejeté dans la mesure où il est 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