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6B_293/2019 vom 29. März 2019</w:t>
      </w:r>
    </w:p>
    <w:p>
      <w:r>
        <w:t>Bundesgericht, 2019-03-29, FR</w:t>
      </w:r>
    </w:p>
    <w:p>
      <w:r>
        <w:rPr>
          <w:b/>
        </w:rPr>
        <w:t xml:space="preserve">Quelle: </w:t>
      </w:r>
      <w:r>
        <w:t>https://mcp.opencaselaw.ch/entscheid/bger_6B_293_2019</w:t>
      </w:r>
    </w:p>
    <w:p>
      <w:r>
        <w:t>FR: TF 6B_293/2019 du 29 mars 2019</w:t>
      </w:r>
    </w:p>
    <w:p>
      <w:r>
        <w:t>IT: TF 6B_293/2019 del 29 marzo 2019</w:t>
      </w:r>
    </w:p>
    <w:p>
      <w:pPr>
        <w:pStyle w:val="Heading2"/>
      </w:pPr>
      <w:r>
        <w:t>Erwägungen</w:t>
      </w:r>
    </w:p>
    <w:p>
      <w:r>
        <w:rPr>
          <w:b/>
        </w:rPr>
        <w:t>E. 1</w:t>
      </w:r>
    </w:p>
    <w:p>
      <w:r>
        <w:t>La recourante conteste la quotité de la peine pécuniaire qui lui a été infligée.</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6B_1122/2018 du 29 janvier 2019 consid. 6.1).</w:t>
      </w:r>
    </w:p>
    <w:p>
      <w:r>
        <w:rPr>
          <w:b/>
        </w:rPr>
        <w:t>E. 1.2</w:t>
      </w:r>
    </w:p>
    <w:p>
      <w:r>
        <w:t>La cour cantonale a exposé que les maltraitances physiques et psychologiques commises sur B.________ n'étaient pas anodines. Elles avaient été perpétrées durant plusieurs années et cela malgré l'intervention et l'aide des services sociaux. Les sévices que la recourante avait infligés à sa fille avaient engendré une symptomatologie de souffrances importante et avaient mis en danger le développement mental de B.________ au point que, selon les experts, cette dernière devrait subir plusieurs années de thérapie. En outre, la recourante était loin d'avoir pris conscience de la réalité des faits et de la gravité de ses actes. Comme devant le tribunal de première instance, elle était demeurée dans le déni et avait refusé catégoriquement toute remise en question. Même en tenant compte d'une responsabilité moyennement restreinte, la culpabilité de l'intéressée restait importante. A décharge, une coopération relativement bonne avec les services sociaux pouvait être retenue. Selon l'autorité précédente, la peine pécuniaire de 180 jours-amende prononcée demeurait modeste au vu de la culpabilité de la recourante.</w:t>
      </w:r>
    </w:p>
    <w:p>
      <w:r>
        <w:rPr>
          <w:b/>
        </w:rPr>
        <w:t>E. 1.3</w:t>
      </w:r>
    </w:p>
    <w:p>
      <w:r>
        <w:t>La recourante soutient que la cour cantonale aurait dû réduire la peine pécuniaire prononcée en première instance, dès lors qu'elle l'a libérée du chef de prévention de voies de fait qualifiées. Selon elle, le maintien de cette peine contreviendrait à l'interdiction de la</w:t>
      </w:r>
    </w:p>
    <w:p>
      <w:r>
        <w:t>reformatio in peius .</w:t>
      </w:r>
    </w:p>
    <w:p>
      <w:r>
        <w:t>L'autorité précédente a indiqué que la peine n'avait pas été fixée correctement par le tribunal de première instance, puisque, d'une part, celui-ci s'était contenté de mentionner l' art. 49 CP et d'annoncer l'existence d'un "concours" et que, d'autre part, il avait prononcé une peine pécuniaire de 180 jours-amende qui englobait la sanction relative à l'infraction de voies de fait qualifiées, alors que l' art. 126 CP prévoit uniquement le prononcé d'une amende. La cour cantonale a ainsi procédé à sa propre fixation de la sanction, ce qu'elle pouvait faire avec un plein pouvoir d'examen (cf. art. 398 al. 2 CPP ).</w:t>
      </w:r>
    </w:p>
    <w:p>
      <w:r>
        <w:t>La recourante perd de vue que l'interdiction de la</w:t>
      </w:r>
    </w:p>
    <w:p>
      <w:r>
        <w:t>reformatio in peius n'impose pas une réduction automatique de la peine infligée en première instance lorsqu'un acquittement partiel est prononcé en deuxième instance. La juridiction d'appel est libre de maintenir la peine infligée en première instance, en devant alors motiver sa décision, par exemple en expliquant que les premiers juges auraient mal apprécié les faits en fixant une peine trop basse qu'il n'y aurait pas lieu de réduire encore (cf. ATF 118 IV 18 consid. 1c/bb p. 21; 117 IV 395 consid. 4 p. 397; plus récemment arrêts 6B_461/2018 du 24 janvier 2019 consid. 11.2; 6B_335/2016 du 24 janvier 2017 consid. 3.3.1 et les références citées). En l'occurrence, la cour cantonale a expliqué pourquoi le seul abandon du chef de prévention de voies de fait qualifiées ne pouvait conduire à une diminution de la peine, laquelle avait été mal fixée et s'avérait en outre trop clémente. Enfin, la recourante ne prétend pas que le dispositif du jugement aurait été modifié en sa défaveur (cf. sur ce point ATF 144 IV 35 consid. 3.1.1 p. 44), de sorte qu'aucune violation de l'interdiction de la</w:t>
      </w:r>
    </w:p>
    <w:p>
      <w:r>
        <w:t>reformatio in peius ne saurait être retenue en l'espèce.</w:t>
      </w:r>
    </w:p>
    <w:p>
      <w:r>
        <w:t>Le grief doit être rejeté.</w:t>
      </w:r>
    </w:p>
    <w:p>
      <w:r>
        <w:rPr>
          <w:b/>
        </w:rPr>
        <w:t>E. 2</w:t>
      </w:r>
    </w:p>
    <w:p>
      <w:r>
        <w:t>La recourante reproche à l'autorité précédente de ne pas avoir assorti sa peine pécuniaire du sursis à l'exécution.</w:t>
      </w:r>
    </w:p>
    <w:p>
      <w:r>
        <w:rPr>
          <w:b/>
        </w:rPr>
        <w:t>E. 2.1</w:t>
      </w:r>
    </w:p>
    <w:p>
      <w:r>
        <w:t>Pour formuler un pronostic sur l'amendement de l'auteur exigé par l' art. 42 CP ,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Dans l'émission du pronostic, le juge dispose d'un large pouvoir d'appréciation. Le Tribunal fédéral n'intervient que s'il en a abusé, notamment lorsqu'il a omis de tenir compte de critères pertinents et s'est fondé exclusivement sur les antécédents du condamné ( ATF 134 IV 140 consid. 4.2 p. 143; 133 IV 201 consid. 2.3 p. 204).</w:t>
      </w:r>
    </w:p>
    <w:p>
      <w:r>
        <w:t>Selon la jurisprudence, sursis et mesures sont incompatibles. En effet, la mesure, y compris le traitement ambulatoire de l' art. 63 CP ,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 ATF 135 IV 180 consid. 2.3; 134 IV 1 consid. 3.1; arrêt 6B_1227/2015 du 29 juillet 2016 consid. 1.2.4 et les références citées).</w:t>
      </w:r>
    </w:p>
    <w:p>
      <w:r>
        <w:rPr>
          <w:b/>
        </w:rPr>
        <w:t>E. 2.2</w:t>
      </w:r>
    </w:p>
    <w:p>
      <w:r>
        <w:t>La cour cantonale a exposé que l'expertise psychiatrique mise en oeuvre concernant la recourante avait révélé l'existence d'un risque de récidive, lequel pourrait être diminué moyennant le suivi d'un traitement ambulatoire. Le psychothérapeute actuel de la recourante avait indiqué qu'il entrevoyait des "possibilités visant à faire prendre conscience [à] sa patiente que sa fille est un sujet et non son objet" mais que l'intéressée restait pour l'heure dans le déni. Ce déni était d'autant plus flagrant que, durant les débats d'appel, la recourante avait mis en cause des familles d'accueil dans lesquelles sa fille était placée. Le risque de récidive était important et le traitement psychothérapeutique n'avait pas amélioré le pronostic défavorable, de sorte qu'une peine ferme devait être prononcée.</w:t>
      </w:r>
    </w:p>
    <w:p>
      <w:r>
        <w:rPr>
          <w:b/>
        </w:rPr>
        <w:t>E. 2.3</w:t>
      </w:r>
    </w:p>
    <w:p>
      <w:r>
        <w:t>La recourante ne conteste pas l'instauration d'une mesure ambulatoire au sens de l' art. 63 CP non plus que l'existence d'un risque de récidive. Elle soutient que l'autorité précédente aurait exclusivement fondé son pronostic sur l'absence de reconnaissance des faits. Le jugement attaqué révèle toutefois que tel n'est pas le cas, le risque de récidive ayant en particulier été considéré par la cour cantonale. Pour le reste, l'autorité précédente pouvait à bon droit tenir compte d'une absence de prise de conscience, puisque, conformément à la jurisprudence du Tribunal fédéral, seul celui qui se repent de son acte mérite la confiance que l'on doit pouvoir accorder au condamné bénéficiant du sursis (cf. arrêts 6B_1030/2018 du 20 novembre 2018 consid. 4.3; 6B_276/2018 du 24 septembre 2018 consid. 3.1).</w:t>
      </w:r>
    </w:p>
    <w:p>
      <w:r>
        <w:t>La recourante reproche encore à la cour cantonale d'avoir ignoré certains éléments dans son pronostic, ainsi le fait qu'elle soit une mère seule et qu'elle suive une psychothérapie. Ces aspects ressortent pourtant expressément du jugement attaqué, étant rappelé que la décision forme un tout et que l'on admet que le juge garde à l'esprit l'ensemble des points qui y figurent (cf. arrêts 6B_143/2019 du 6 mars 2019 consid. 2.3; 6B_1269/2017 du 16 janvier 2019 consid. 9.3 et les références citées). Peu importe enfin que l'intéressée eût reconnu avoir eu des gestes déplacés à l'encontre de sa fille, dès lors que celle-ci ne conteste pas s'être trouvée, de manière générale, dans le déni constaté tant par la cour cantonale que par les experts psychiatres ayant eu à l'examiner.</w:t>
      </w:r>
    </w:p>
    <w:p>
      <w:r>
        <w:t>Compte tenu de ce qui précède, l'autorité précédente n'a pas violé le droit fédéral en infligeant une peine pécuniaire ferme à la recourante. Le grief doit être rejeté.</w:t>
      </w:r>
    </w:p>
    <w:p>
      <w:r>
        <w:rPr>
          <w:b/>
        </w:rPr>
        <w:t>E. 3</w:t>
      </w:r>
    </w:p>
    <w:p>
      <w:r>
        <w:t>Le recours doit être rejeté. Comme il était dépourvu de chances de succès, la demande d'assistance judiciaire doit être rejetée ( art. 64 al. 1 LTF ). La recourante,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