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292/2020 vom 29. Mai 2020</w:t>
      </w:r>
    </w:p>
    <w:p>
      <w:r>
        <w:t>Bundesgericht, 2020-05-29, FR</w:t>
      </w:r>
    </w:p>
    <w:p>
      <w:r>
        <w:rPr>
          <w:b/>
        </w:rPr>
        <w:t xml:space="preserve">Quelle: </w:t>
      </w:r>
      <w:r>
        <w:t>https://mcp.opencaselaw.ch/entscheid/bger_6B_292_2020</w:t>
      </w:r>
    </w:p>
    <w:p>
      <w:r>
        <w:t>FR: TF 6B 292/2020 du 29 mai 2020</w:t>
      </w:r>
    </w:p>
    <w:p>
      <w:r>
        <w:t>IT: TF 6B 292/2020 del 29 maggio 2020</w:t>
      </w:r>
    </w:p>
    <w:p>
      <w:pPr>
        <w:pStyle w:val="Heading2"/>
      </w:pPr>
      <w:r>
        <w:t>Regeste</w:t>
      </w:r>
    </w:p>
    <w:p>
      <w:r>
        <w:t>Ordonnance de classement ; irrecevabilité du recours | Procédure pénale</w:t>
      </w:r>
    </w:p>
    <w:p>
      <w:pPr>
        <w:pStyle w:val="Heading2"/>
      </w:pPr>
      <w:r>
        <w:t>Erwägungen</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le recourant s'oppose au classement des procédures ouvertes à l'encontre de B.________, F.________, G.________ et H.________. Il se contente d'affirmer avoir un intérêt juridique à contester l'arrêt attaqué et de prétendre que le présent recours pourrait avoir "une influence sur ses prétentions civiles", sans plus de précisions. Cette motivation ne permet pas de comprendre quelles prétentions civiles pourraient être déduites, par le recourant, des infractions dont il se plaint. Ce dernier a pourtant, à plusieurs reprises dans le cadre de cette affaire, été rendu attentif à cette problématique par le Tribunal fédéral (cf. arrêts 6B_55/2020 du 13 février 2020 consid. 2.2; 6B_104/2018 précité consid. 1.2; 6B_452/2018 du 19 décembre 2018 consid. 1.2). En outre, il ressort de l'arrêt attaqué que le recourant a conclu une convention d'indemnisation avec C.________ SA, au terme de laquelle celui-ci a perçu une somme de 1'500'000 fr. pour solde de tout compte. Le recourant se borne, de manière purement appellatoire et, partant, irrecevable (cf. ATF 145 IV 154 consid. 1.1 p. 156), à prétendre que cette convention aurait été invalidée par son ancien avocat, sans démontrer qu'il aurait été arbitraire, pour la cour cantonale, de retenir qu'une indemnisation avait bien été prévue entre les parties, excluant toutes autres prétentions civiles émises par l'intéressé. Compte tenu de ce qui précède, à défaut d'une motivation suffisante en la matière, le recourant n'a pas la qualité pour recourir sur le fond de la cause.</w:t>
      </w:r>
    </w:p>
    <w:p>
      <w:r>
        <w:rPr>
          <w:b/>
        </w:rPr>
        <w:t>E. 1.3</w:t>
      </w:r>
    </w:p>
    <w:p>
      <w:r>
        <w:t>L'hypothèse visée à l'art. 81 al. 1 let. b ch. 6 LTF n'entre pas, quant à elle, en considération, le recourant ne soulevant aucun grief relatif à son droit de porter plainte.</w:t>
      </w:r>
    </w:p>
    <w:p>
      <w:r>
        <w:rPr>
          <w:b/>
        </w:rPr>
        <w:t>E. 1.4</w:t>
      </w:r>
    </w:p>
    <w:p>
      <w:r>
        <w:t>Indépendamment des conditions posées par l'art. 81 al. 1 let. b ch. 5 LTF, le recourant est aussi habilité à se plaindre d'une violation de ses droits de partie équivalant à un déni de justice formel, sans toutefois pouvoir faire valoir par ce biais, même indirectement, des moyens qui ne peuvent être séparés du fond ( ATF 141 IV 1 consid. 1.1 p. 5). En l'occurrence, le recourant ne présente aucun grief recevable de cette nature, susceptible d'être séparé du fond, à propos des classements contestés.</w:t>
      </w:r>
    </w:p>
    <w:p>
      <w:r>
        <w:rPr>
          <w:b/>
        </w:rPr>
        <w:t>E. 2</w:t>
      </w:r>
    </w:p>
    <w:p>
      <w:r>
        <w:t>Le recourant reproche par ailleurs à l'autorité précédente d'avoir violé l' art. 136 CPP en refusant de le mettre au bénéfice de l'assistance judiciaire. Selon lui, contrairement à ce qu'a estimé la cour cantonale, son action civile ne paraissait pas vouée à l'échec au sens de l' art. 136 al. 1 let. b CPP . L'intéressé ne présente cependant, à cet égard, aucune argumentation recevable, puisqu'il se contente d'affirmer, de manière purement appellatoire, que la convention d'indemnisation conclue avec C.________ SA aurait été invalidée, sans fournir par ailleurs la moindre explication sur la question des éventuelles prétentions civiles qui auraient pu être émises à l'encontre de B.________, F.________, G.________ et H.________.</w:t>
      </w:r>
    </w:p>
    <w:p>
      <w:r>
        <w:rPr>
          <w:b/>
        </w:rPr>
        <w:t>E. 3</w:t>
      </w:r>
    </w:p>
    <w:p>
      <w:r>
        <w:t>L'irrecevabilité du recours est manifeste. Il convient de la constater dans la procédure prévue par l' art. 108 al. 1 let. a et b LTF . Comme le recours était dénué de chances de succès, la demande d'assistance judiciaire doit être rejetée ( art. 64 al. 1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