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6B_292/2018 vom 26. April 2018</w:t>
      </w:r>
    </w:p>
    <w:p>
      <w:r>
        <w:t>Bundesgericht, 2018-04-26, DE</w:t>
      </w:r>
    </w:p>
    <w:p>
      <w:r>
        <w:rPr>
          <w:b/>
        </w:rPr>
        <w:t xml:space="preserve">Quelle: </w:t>
      </w:r>
      <w:r>
        <w:t>https://mcp.opencaselaw.ch/entscheid/bger_6B_292_2018</w:t>
      </w:r>
    </w:p>
    <w:p>
      <w:r>
        <w:t>FR: TF 6B_292/2018 du 26 avril 2018</w:t>
      </w:r>
    </w:p>
    <w:p>
      <w:r>
        <w:t>IT: TF 6B_292/2018 del 26 aprile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6B_292/2018</w:t>
      </w:r>
    </w:p>
    <w:p>
      <w:r>
        <w:t>Verfügung vom 26. April 2018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Statthalteramt des Bezirkes Hinwil, Untere Bahnhofstrasse 25a, 8340 Hinwil,</w:t>
      </w:r>
    </w:p>
    <w:p>
      <w:r>
        <w:t>Beschwerdegegner,</w:t>
      </w:r>
    </w:p>
    <w:p>
      <w:r>
        <w:t>.</w:t>
      </w:r>
    </w:p>
    <w:p>
      <w:r>
        <w:t>Gegenstand</w:t>
      </w:r>
    </w:p>
    <w:p>
      <w:r>
        <w:t>Missachten polizeilicher Anordnungen; Rückzug,</w:t>
      </w:r>
    </w:p>
    <w:p>
      <w:r>
        <w:t>Beschwerde gegen das Urteil des Obergerichts des Kantons Zürich, II. Strafkammer, vom 29. November 2017 (SU170035-O/U/gs).</w:t>
      </w:r>
    </w:p>
    <w:p>
      <w:r>
        <w:t>Erwägungen:</w:t>
      </w:r>
    </w:p>
    <w:p>
      <w:r>
        <w:t>Die Beschwerde wurde mit Schreiben vom 25. April 2018 (eingegangen am 26. April 2018)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Obergericht des Kantons Zürich, II. Strafkammer, schriftlich mitgeteilt.</w:t>
      </w:r>
    </w:p>
    <w:p>
      <w:r>
        <w:t>Lausanne, 26. April 2018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