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6B_291/2009 vom 25. Juni 2009</w:t>
      </w:r>
    </w:p>
    <w:p>
      <w:r>
        <w:t>Bundesgericht, 2009-06-25, DE</w:t>
      </w:r>
    </w:p>
    <w:p>
      <w:r>
        <w:rPr>
          <w:b/>
        </w:rPr>
        <w:t xml:space="preserve">Quelle: </w:t>
      </w:r>
      <w:r>
        <w:t>https://mcp.opencaselaw.ch/entscheid/bger_6B_291_2009</w:t>
      </w:r>
    </w:p>
    <w:p>
      <w:r>
        <w:t>FR: TF 6B_291/2009 du 25 juin 2009</w:t>
      </w:r>
    </w:p>
    <w:p>
      <w:r>
        <w:t>IT: TF 6B_291/2009 del 25 giugno 2009</w:t>
      </w:r>
    </w:p>
    <w:p>
      <w:pPr>
        <w:pStyle w:val="Heading2"/>
      </w:pPr>
      <w:r>
        <w:t>Erwägungen</w:t>
      </w:r>
    </w:p>
    <w:p>
      <w:r>
        <w:rPr>
          <w:b/>
        </w:rPr>
        <w:t>E. 1</w:t>
      </w:r>
    </w:p>
    <w:p>
      <w:r>
        <w:t>Im angefochtenen Entscheid wurde unter anderem erkannt, die Beschwerdeführerin werde in Sicherheitshaft versetzt (Ziff. 6). Soweit sich die Beschwerde gegen diesen Punkt des angefochtenen Entscheids richtet (Antrag 2), wurde sie durch das Bundesgericht mit Urteil 1B_114/2009 vom 15. Juni 2009 abgewiesen.</w:t>
      </w:r>
    </w:p>
    <w:p>
      <w:r>
        <w:rPr>
          <w:b/>
        </w:rPr>
        <w:t>E. 2</w:t>
      </w:r>
    </w:p>
    <w:p>
      <w:r>
        <w:t>Die Vorinstanz hat in Gutheissung einer Berufung erkannt, die Beschwerdeführerin werde der vorsätzlichen Tötung im Sinne von Art. 111 StGB schuldig gesprochen, die gegen sie anzuordnende Sanktion werde mit separatem Urteil festgesetzt, und es werde ein Sachverständigengutachten angeordnet, welches darüber Aufschluss zu geben habe, ob die Schuldfähigkeit der Beschwerdeführerin im Zeitpunkt der Tat eingeschränkt gewesen sei (Ziff. 1 - 3). Der angefochtene Entscheid ist somit kein Endentscheid im Sinne von Art. 90 BGG , da er das Verfahren nicht abschliesst. Darin wird zwar der Schuldpunkt beurteilt. Der Strafpunkt wird indessen Gegenstand eines separaten Urteils sein, weshalb der Entscheid vom 10. März 2009 nach der Rechtsprechung des Bundesgerichts auch keinen anfechtbaren Teilentscheid im Sinne von Art. 91 BGG darstellt ( BGE 133 IV 137 ; Urteile 6B_71/2007 vom 31. Mai 2007, E. 2, und 6B_454/2007 vom 9. November 2007, E. 1.2). Auf die Beschwerde betreffend den Schuldpunkt ist im Verfahren nach Art. 108 BGG nicht einzutreten.</w:t>
      </w:r>
    </w:p>
    <w:p>
      <w:r>
        <w:rPr>
          <w:b/>
        </w:rPr>
        <w:t>E. 3</w:t>
      </w:r>
    </w:p>
    <w:p>
      <w:r>
        <w:t>Ausnahmsweise kann auf eine Erhebung von Gerichtskosten verzichtet werden. Insoweit ist das Gesuch um unentgeltliche Rechtspflege gegenstandslos. Das Gesuch um unentgeltliche Verbeiständung ist in Anwendung von Art. 64 BGG abzuweisen, weil die Rechtsbegehren aussichtslos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