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289/2017 vom 24. August 2017</w:t>
      </w:r>
    </w:p>
    <w:p>
      <w:r>
        <w:t>Bundesgericht, 2017-08-24, FR</w:t>
      </w:r>
    </w:p>
    <w:p>
      <w:r>
        <w:rPr>
          <w:b/>
        </w:rPr>
        <w:t xml:space="preserve">Quelle: </w:t>
      </w:r>
      <w:r>
        <w:t>https://mcp.opencaselaw.ch/entscheid/bger_6B_289_2017</w:t>
      </w:r>
    </w:p>
    <w:p>
      <w:r>
        <w:t>FR: TF 6B 289/2017 du 24 août 2017</w:t>
      </w:r>
    </w:p>
    <w:p>
      <w:r>
        <w:t>IT: TF 6B 289/2017 del 24 agosto 2017</w:t>
      </w:r>
    </w:p>
    <w:p>
      <w:pPr>
        <w:pStyle w:val="Heading2"/>
      </w:pPr>
      <w:r>
        <w:t>Regeste</w:t>
      </w:r>
    </w:p>
    <w:p>
      <w:r>
        <w:t>Ordonnance de classement (vol), constatation arbitraire des faits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 138 IV 186 consid. 1.4.1 p. 189; 137 IV 219 consid. 2.4 p. 222 s.).</w:t>
      </w:r>
    </w:p>
    <w:p>
      <w:r>
        <w:rPr>
          <w:b/>
        </w:rPr>
        <w:t>E. 1.2</w:t>
      </w:r>
    </w:p>
    <w:p>
      <w:r>
        <w:t>En l'occurrence, la recourante explique que le classement litigieux influe directement sur ses prétentions civiles dans la mesure où la possibilité de recouvrer, dans le cadre de la procédure pénale, le véhicule qui lui a été dérobé ou les dommages-intérêts y relatifs, lui a été déniée. Compte tenu de la nature de l'infraction dénoncée, l'on déduit sans ambiguïté la nature des prétentions civiles invoquées par la recourante, de sorte qu'elle a qualité pour recourir au Tribunal fédéral.</w:t>
      </w:r>
    </w:p>
    <w:p>
      <w:r>
        <w:rPr>
          <w:b/>
        </w:rPr>
        <w:t>E. 2</w:t>
      </w:r>
    </w:p>
    <w:p>
      <w:r>
        <w:t>La recourante invoque une violation de son droit d'être entendue et un déni de justice pour le motif que la chambre cantonale n'a pas ordonné l'audition de certains proches de feu C.________, mesure d'instruction prétendument susceptible d'établir son droit de propriété sur le véhicule en cause. Compte tenu du considérant suivant, le grief est sans incidence sur l'issue du litige, de sorte qu'il n'y a pas lieu de l'examiner (cf. art. 97 al. 1 LTF ).</w:t>
      </w:r>
    </w:p>
    <w:p>
      <w:r>
        <w:rPr>
          <w:b/>
        </w:rPr>
        <w:t>E. 3.1</w:t>
      </w:r>
    </w:p>
    <w:p>
      <w:r>
        <w:t>La recourante, qui explique qu'elle est une société de droit chypriote agissant par G.________ et H.________, reproche aux magistrats cantonaux de l'avoir confondue avec B.X.________ Limited, société sise à Jersey et dissoute le 1er octobre 2015, dont l'un des organes était F.________. Ce dernier n'étant ainsi pas légitimé à agir pour le compte de la recourante, il s'était emparé sans droit de la BMW 507 dont elle était propriétaire, de sorte qu'une infraction paraissait avoir été bel et bien commise à son détriment. Ce faisant, la recourante conteste les constatations cantonales selon lesquelles F.________ serait son ayant droit économique, respectivement légitimé à agir pour elle.</w:t>
      </w:r>
    </w:p>
    <w:p>
      <w:r>
        <w:rPr>
          <w:b/>
        </w:rPr>
        <w:t>E. 3.2.1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art.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6B_570/2016 du 6 juin 2017 consid. 3).</w:t>
      </w:r>
    </w:p>
    <w:p>
      <w:r>
        <w:rPr>
          <w:b/>
        </w:rPr>
        <w:t>E. 3.2.2</w:t>
      </w:r>
    </w:p>
    <w:p>
      <w:r>
        <w:t>Le Tribunal fédéral n'est pas une autorité d'appel, auprès de laquelle les faits pourraient être rediscutés librement. Il est lié par les constatations de fait de la décision entreprise (cf. art. 105 al. 1 LTF ), qu'il ne revoit que si les faits ont été établis de manière manifestement inexacte (art. 97 al. 1 et 105 al. 2 LTF), soit pour l'essentiel de façon arbitraire au sens de l' art. 9 Cst. ,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142 II 369 consid. 4.3 p. 380). Les critiques de nature appellatoire sont irrecevables ( ATF 142 III 364 consid. 2.4 p. 368 et les références citées).</w:t>
      </w:r>
    </w:p>
    <w:p>
      <w:r>
        <w:rPr>
          <w:b/>
        </w:rPr>
        <w:t>E. 3.3</w:t>
      </w:r>
    </w:p>
    <w:p>
      <w:r>
        <w:t>La juridiction cantonale a considéré que le véhicule en cause appartenait à la recourante. Le 16 juillet 2010, il avait été valablement remis à F.________ en qualité d'ayant droit économique de cette dernière, de sorte que rien ne permettait de retenir que celle-ci aurait subi un quelconque préjudice. Elle a considéré que le classement se justifiait pour ce motif. A l'appui de ces considérations, la chambre cantonale s'est fondée sur une quittance de vente passée le 19 avril 1988 (cf. pces 23 et 31 du dossier cantonal) et sur un procès-verbal d'audition d'un dénommé I.________ (cf. pce 3, procès-verbal 2, Iignes 32 et 68 ss du dossier cantonal). Or, il ressort de la quittance que la BMW 507 a été vendue le 19 avril 1988 à B.X.________ Limited, une société sise à Jersey. Quant au procès-verbal, il indique qu'en sa qualité de conseiller financier, I.________ avait reçu, entre 2009 et 2011, des instructions de la part d'une société X.________ Jersey tendant au paiement de factures en faveur d'un garage. Ses contacts d'alors avaient été feu C.________, fondé de pouvoir de ladite société, et F.________, bénéficiaire économique de celle-ci (cf. pce 3, procès-verbal 2, Iignes 23-28, 31-32, 39). Il résulte de ce qui précède que lors de la transaction du 19 avril 1988, la BMW 507 n'apparaît pas avoir été vendue à la recourante, mais à B.X.________ Limited. Il ne ressort pas non plus de ces pièces que F.________ serait le bénéficiaire économique de la recourante. L'arrêt attaqué est ainsi fondé sur des éléments factuels erronés, respectivement lacunaires, qui ne permettent en l'état pas d'examiner l'application du droit. Il doit être annulé et la cause renvoyée à la juridiction cantonale pour nouvelle décision.</w:t>
      </w:r>
    </w:p>
    <w:p>
      <w:r>
        <w:rPr>
          <w:b/>
        </w:rPr>
        <w:t>E. 4</w:t>
      </w:r>
    </w:p>
    <w:p>
      <w:r>
        <w:t>Au vu de ce qui précède, le recours doit être admis. Dès lors que le renvoi en instance cantonale est dicté par un état de fait lacunaire, il peut être statué sans échange d'écritures préalable (cf. ATF 133 IV 293 consid. 3.4.2 p. 296).</w:t>
      </w:r>
    </w:p>
    <w:p>
      <w:r>
        <w:rPr>
          <w:b/>
        </w:rPr>
        <w:t>E. 5</w:t>
      </w:r>
    </w:p>
    <w:p>
      <w:r>
        <w:t>Le canton de Vaud est dispensé des frais ( art. 66 al. 4 LTF ). Il versera en revanche à la recourante une indemnité de dépens pour la procédure devant le Tribunal fédéral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