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289/2014 vom 13. Mai 2014</w:t>
      </w:r>
    </w:p>
    <w:p>
      <w:r>
        <w:t>Bundesgericht, 2014-05-13, DE</w:t>
      </w:r>
    </w:p>
    <w:p>
      <w:r>
        <w:rPr>
          <w:b/>
        </w:rPr>
        <w:t xml:space="preserve">Quelle: </w:t>
      </w:r>
      <w:r>
        <w:t>https://mcp.opencaselaw.ch/entscheid/bger_6B_289_2014</w:t>
      </w:r>
    </w:p>
    <w:p>
      <w:r>
        <w:t>FR: TF 6B 289/2014 du 13 mai 2014</w:t>
      </w:r>
    </w:p>
    <w:p>
      <w:r>
        <w:t>IT: TF 6B 289/2014 del 13 maggio 2014</w:t>
      </w:r>
    </w:p>
    <w:p>
      <w:pPr>
        <w:pStyle w:val="Heading2"/>
      </w:pPr>
      <w:r>
        <w:t>Regeste</w:t>
      </w:r>
    </w:p>
    <w:p>
      <w:r>
        <w:t>Strafzumessung (qualifizierte Widerhandlung gegen das BetmG) | Strafrecht (allgemein)</w:t>
      </w:r>
    </w:p>
    <w:p>
      <w:pPr>
        <w:pStyle w:val="Heading2"/>
      </w:pPr>
      <w:r>
        <w:t>Erwägungen</w:t>
      </w:r>
    </w:p>
    <w:p>
      <w:r>
        <w:rPr>
          <w:b/>
        </w:rPr>
        <w:t>E. 1.1</w:t>
      </w:r>
    </w:p>
    <w:p>
      <w:r>
        <w:t>Der Beschwerdeführer wendet sich gegen die vorinstanzliche Strafzumessung.</w:t>
      </w:r>
    </w:p>
    <w:p>
      <w:r>
        <w:rPr>
          <w:b/>
        </w:rPr>
        <w:t>E. 1.2</w:t>
      </w:r>
    </w:p>
    <w:p>
      <w:r>
        <w:t>Das Bundesgericht hat die Grundsätze der Strafzumessung wiederholt dargelegt (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(a.a.O. E. 5.6; 135 IV 130 E. 5.3.1; 134 IV 17 E. 2.1; je mit Hinweisen).</w:t>
      </w:r>
    </w:p>
    <w:p>
      <w:r>
        <w:rPr>
          <w:b/>
        </w:rPr>
        <w:t>E. 1.3</w:t>
      </w:r>
    </w:p>
    <w:p>
      <w:r>
        <w:t>Die Vorinstanz legt den Strafrahmen korrekt fest, setzt sich in ihren Erwägungen mit den wesentlichen schuldrelevanten Tat- sowie Täterkomponenten auseinander und würdigt diese zutreffend. Dass sie sich von rechtlich nicht massgebenden Gesichtspunkten leiten lässt oder wesentliche Aspekte nicht berücksichtigt hätte, ist nicht ersichtlich.</w:t>
      </w:r>
    </w:p>
    <w:p>
      <w:r>
        <w:rPr>
          <w:b/>
        </w:rPr>
        <w:t>E. 1.3.1</w:t>
      </w:r>
    </w:p>
    <w:p>
      <w:r>
        <w:t>Die Vorinstanz stellt eine Verletzung des Beschleunigungsgebots fest und reduziert die Freiheitsstrafe deswegen um 4 Monate. Weshalb sich die Verzögerung "weit mehr" zu seinen Gunsten auswirken müsste, legt der Beschwerdeführer nicht dar und ist auch nicht erkennbar.</w:t>
      </w:r>
    </w:p>
    <w:p>
      <w:r>
        <w:rPr>
          <w:b/>
        </w:rPr>
        <w:t>E. 1.3.2</w:t>
      </w:r>
    </w:p>
    <w:p>
      <w:r>
        <w:t>Der Beschwerdeführer beanstandet, dass die Vorinstanz keine besondere Strafempfindlichkeit angenommen hat. Weil er zu einer Freiheitsstrafe von mehr als einem Jahr verurteilt werde, laufe er Gefahr, die Schweiz verlassen zu müssen. Nach Art. 62 lit. b sowie Art. 63 Abs. 1 lit. a des Bundesgesetzes über die Ausländerinnen und Ausländer vom 16. Dezember 2005 (SR 142.20) können Aufenthalts- und Niederlassungsbewilligungen widerrufen werden, wenn eine ausländische Person zu einer längerfristigen Freiheitsstrafe verurteilt worden ist. Dieser Widerrufsgrund liegt vor, wenn eine Freiheitsstrafe von mehr als einem Jahr ausgesprochen wurde ( BGE 135 II 377 E. 4.2). Die zuständige Behörde entzieht die Bewilligung nur, wenn die Interessenabwägung im Einzelfall dies als verhältnismässig erscheinen lässt. Dabei berücksichtigt sie namentlich die Schwere des Verschuldens, den Grad der Integration beziehungsweise die Dauer der bisherigen Anwesenheit sowie die dem Betroffenen und seiner Familie drohenden Nachteile ( BGE 135 II 377 E. 4.3). Die ausländerrechtlichen Folgen, welche den Beschwerdeführer allenfalls treffen könnten, drohen jeder ausländischen Person, die zu einer Freiheitsstrafe von mehr als einem Jahr verurteilt wurde. Sie führen nicht ohne weiteres zu einer Strafminderung (Urteil 6B_116/2012 vom 30. März 2012 E. 3.4 mit Hinweisen). Der Beschwerdeführer legt nicht dar, dass er wegen einer besonderen Strafempfindlichkeit ungleich schwerer getroffen wird als andere ausländische Personen.</w:t>
      </w:r>
    </w:p>
    <w:p>
      <w:r>
        <w:rPr>
          <w:b/>
        </w:rPr>
        <w:t>E. 1.4</w:t>
      </w:r>
    </w:p>
    <w:p>
      <w:r>
        <w:t>Die Freiheitsstrafe von 28 Monaten hält sich auch bei einer Gesamtbetrachtung im Rahmen des sachgerichtlichen Ermessens. Bei diesem Ausgang gehen die Ausführungen des Beschwerdeführers an der Sache vorbei, wenn er unter Hinweis auf verschiedene Gesetzesbestimmungen sinngemäss vorträgt, die Vorinstanz hätte nur eine Freiheitsstrafe von 12 Monaten aussprechen dürfen und diese mit einer Geldstrafe verbinden müssen.</w:t>
      </w:r>
    </w:p>
    <w:p>
      <w:r>
        <w:rPr>
          <w:b/>
        </w:rPr>
        <w:t>E. 2</w:t>
      </w:r>
    </w:p>
    <w:p>
      <w:r>
        <w:t>Das Gesuch um aufschiebende Wirkung wird mit dem Entscheid in der Sache gegenstandslos.</w:t>
      </w:r>
    </w:p>
    <w:p>
      <w:r>
        <w:rPr>
          <w:b/>
        </w:rPr>
        <w:t>E. 3</w:t>
      </w:r>
    </w:p>
    <w:p>
      <w:r>
        <w:t>Die Beschwerde ist abzuweisen, soweit darauf eingetreten werden kann. Bei diesem Ausgang trägt der Beschwerdeführer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