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288/2020 vom 16. Oktober 2020</w:t>
      </w:r>
    </w:p>
    <w:p>
      <w:r>
        <w:t>Bundesgericht, 2020-10-16, FR</w:t>
      </w:r>
    </w:p>
    <w:p>
      <w:r>
        <w:rPr>
          <w:b/>
        </w:rPr>
        <w:t xml:space="preserve">Quelle: </w:t>
      </w:r>
      <w:r>
        <w:t>https://mcp.opencaselaw.ch/entscheid/bger_6B_288_2020</w:t>
      </w:r>
    </w:p>
    <w:p>
      <w:r>
        <w:t>FR: TF 6B 288/2020 du 16 octobre 2020</w:t>
      </w:r>
    </w:p>
    <w:p>
      <w:r>
        <w:t>IT: TF 6B 288/2020 del 16 ottobre 2020</w:t>
      </w:r>
    </w:p>
    <w:p>
      <w:pPr>
        <w:pStyle w:val="Heading2"/>
      </w:pPr>
      <w:r>
        <w:t>Regeste</w:t>
      </w:r>
    </w:p>
    <w:p>
      <w:r>
        <w:t>Opposition à une ordonnance pénale (violation simple des règles de la circulation routière, etc.) | Infractions</w:t>
      </w:r>
    </w:p>
    <w:p>
      <w:pPr>
        <w:pStyle w:val="Heading2"/>
      </w:pPr>
      <w:r>
        <w:t>Erwägungen</w:t>
      </w:r>
    </w:p>
    <w:p>
      <w:r>
        <w:rPr>
          <w:b/>
        </w:rPr>
        <w:t>E. 1</w:t>
      </w:r>
    </w:p>
    <w:p>
      <w:r>
        <w:t>Le recourant conteste sous différents angles la validité de la notification de l'ordonnance pénale du 29 mars 2019 ainsi que le caractère tardif de son opposition.</w:t>
      </w:r>
    </w:p>
    <w:p>
      <w:r>
        <w:rPr>
          <w:b/>
        </w:rPr>
        <w:t>E. 1.1</w:t>
      </w:r>
    </w:p>
    <w:p>
      <w:r>
        <w:t>Conformément à l' art. 354 al. 1 let. a CPP , le prévenu peut former opposition contre l'ordonnance pénale devant le ministère public, par écrit et dans les dix jours.</w:t>
      </w:r>
    </w:p>
    <w:p>
      <w:r>
        <w:rPr>
          <w:b/>
        </w:rPr>
        <w:t>E. 1.1.1</w:t>
      </w:r>
    </w:p>
    <w:p>
      <w:r>
        <w:t>Selon l' art. 85 CPP , sauf disposition contraire du CPP, les communications des autorités pénales sont notifiées en la forme écrite (al. 1); les autorités pénales notifient leurs prononcés - dont les ordonnances (cf. art. 80 al. 1 2 ème phrase CPP) - par lettre signature ou par tout autre mode de communication impliquant un accusé de réception, notamment par l'entremise de la police (al. 2); le prononcé est réputé notifié lorsqu'il est remis au destinataire, à l'un de ses employés ou à toute personne de plus de seize ans vivant dans le même ménage, les directives des autorités pénales concernant une communication à adresser personnellement au destinataire étant réservées (al. 3). Toute communication doit être notifiée au domicile, au lieu de résidence habituelle ou au siège du destinataire ( art. 87 al. 1 CPP ).</w:t>
      </w:r>
    </w:p>
    <w:p>
      <w:r>
        <w:rPr>
          <w:b/>
        </w:rPr>
        <w:t>E. 1.1.2</w:t>
      </w:r>
    </w:p>
    <w:p>
      <w:r>
        <w:t>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 ATF 142 IV 125 consid. 4.3 p. 128 et les arrêts cités).</w:t>
      </w:r>
    </w:p>
    <w:p>
      <w:r>
        <w:rPr>
          <w:b/>
        </w:rPr>
        <w:t>E. 1.1.3</w:t>
      </w:r>
    </w:p>
    <w:p>
      <w:r>
        <w:t>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 Il est admis que la personne concernée doit s'attendre à la remise d'un prononcé lorsqu'elle est au courant qu'elle fait l'objet d'une instruction pénale au sens de l' art. 309 CPP (arrêt 6B_723/2020 du 2 septembre 2020 consid. 1.1.1 et les références citées).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 6B_723/2020 précité consid. 1.1.1 et les références).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141 II 429 consid. 3.1 p. 431 s.; 139 IV 228 consid. 1.1 p. 230 et les références citées).</w:t>
      </w:r>
    </w:p>
    <w:p>
      <w:r>
        <w:rPr>
          <w:b/>
        </w:rPr>
        <w:t>E. 1.2</w:t>
      </w:r>
    </w:p>
    <w:p>
      <w:r>
        <w:t>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rPr>
          <w:b/>
        </w:rPr>
        <w:t>E. 1.3</w:t>
      </w:r>
    </w:p>
    <w:p>
      <w:r>
        <w:t>Le recourant conteste en premier lieu l'existence d'un "rapport juridique de procédure pénale" et soutient que les circonstances ne permettaient pas de retenir qu'il devait s'attendre à la notification de l'ordonnance pénale litigieuse. En l'espèce, il ressort clairement de l'arrêt attaqué que le recourant a signé son procès-verbal d'audition par la police dont le préambule précise qu'il a pris note qu'il était entendu en qualité de prévenu au sens des art. 142 ss CPP et 157 ss CPP dans le cadre d'une procédure préliminaire instruite à son encontre pour infractions aux règles de la LCR. Il y attestait avoir compris ses droits et obligations. Cette audition s'est déroulée le 16 février 2019 selon la date figurant au procès-verbal ( art.105 al. 2 LTF ). Dans cette mesure, le recourant ne peut rien tirer en sa faveur de la jurisprudence dont il se prévaut (arrêt 6B_158/2012 du 27 juillet 2012 consid. 2.1 avec renvoi aux ATF 116 Ia 90 consid. 2c/aa p. 93; 101 Ia 7 consid. 2 p. 9), aux termes de laquelle un simple interrogatoire par la police en qualité de témoin, voire de suspect, ne suffit en général pas à créer un rapport juridique de procédure pénale avec la personne entendue. La configuration propre au cas d'espèce diffère de ce qui précède, puisqu'en l'occurrence, les investigations policières mentionnées par la cour cantonale impliquaient l'existence d'une procédure préliminaire (cf. art. 300 al. 1 let. a CPP ; art. 306 CPP ) dans laquelle le recourant avaient le statut de prévenu. L'absence d'ouverture formelle d'une instruction ( art. 309 CPP ) au moment de l'audition en cause n'y change rien, dès lors que les informations dûment communiquées par la police au recourant ne laissaient planer aucune ambiguïté sur l'existence de la procédure préliminaire diligentée à son encontre et sur le statut qu'il revêtait dans ce contexte. Il s'ensuit que le recourant devait s'attendre, depuis son audition par la police en qualité de prévenu, à se voir notifier un prononcé tel qu'une ordonnance pénale. Celle-ci lui a été adressée moins de deux mois après son audition. Le grief doit donc être rejeté.</w:t>
      </w:r>
    </w:p>
    <w:p>
      <w:r>
        <w:rPr>
          <w:b/>
        </w:rPr>
        <w:t>E. 1.4</w:t>
      </w:r>
    </w:p>
    <w:p>
      <w:r>
        <w:t>Le recourant reproche ensuite à la cour cantonale d'avoir renversé le fardeau de la preuve en ce qui concerne la notification de l'ordonnance pénale du 29 mars 2019 et d'avoir arbitrairement établi les faits à cet égard. Il se plaint également d'une violation de l' art. 85 al. 3 CPP . En l'espèce, il est constant que le pli recommandé contenant l'ordonnance pénale en cause a été notifiée au domicile du recourant, conformément à l' art. 87 CPP , et que l'accusé de réception indique comme récipiendaire une personne dénommée "B.________". Il ressort de l'arrêt attaqué (cf. art. 105 al. 1 LTF ) que le recourant s'est contenté d'exposer que cette dernière était une certaine C.________ et que celle-ci travaillait à son domicile. Elle n'était toutefois pas son employée, mais celle d'une société D.________SA, dont le siège se situait à Vernier et dont il s'avérait que le recourant était administrateur unique avec signature individuelle. Cela étant, le recourant ne peut rien tirer en sa faveur de ce que la cour cantonale aurait arbitrairement écarté sa version concernant l'identité et les qualités de la récipiendaire du pli recommandé en question. Nonobstant la motivation cantonale, les explications du recourant, auxquelles il convient de se référer (cf. supra consid. 1.1.2), ne doivent pas faire perdre de vue qu'il demeure en toute hypothèse l'administrateur unique avec signature individuelle de la société qui emploie la personne qu'il désigne comme récipiendaire. Dans la configuration propre au cas d'espèce, sa qualité d'organe de cette société permet ainsi de considérer un rapport de subordination et des liens directs d'employeur à employé (cf. MACALUSO/TOFFEL, in JEANNERET/KUHN/PERRIER DEPEURSINGE, Commentaire romand, Code de procédure pénale suisse, 2e éd. 2019, n° 23 ad 85 CPP). On doit ainsi reconnaître à la personne définie par le recourant comme récipiendaire du pli recommandé une qualité d'employée au sens de l' art. 85 al. 3 CPP , a fortiori dans la mesure où il a lui-même indiqué qu'elle travaillait à son domicile. Au vu de ces éléments, il n'y a pas matière à considérer une inversion du fardeau de la preuve ni de violation de l' art. 85 al. 3 CPP . La cour cantonale était en définitive fondée à considérer que l'ordonnance pénale litigieuse lui avait été valablement notifiée au lieu et à la date considérée, avant d'en conclure que le premier juge avait retenu à bon droit le caractère irrecevable car tardif de l'opposition formée par le recourant. Les griefs du recourant doivent donc être rejetés sur ces points également.</w:t>
      </w:r>
    </w:p>
    <w:p>
      <w:r>
        <w:rPr>
          <w:b/>
        </w:rPr>
        <w:t>E. 2</w:t>
      </w:r>
    </w:p>
    <w:p>
      <w:r>
        <w:t>Le recours doit être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