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287/2023 vom 15. Mai 2023</w:t>
      </w:r>
    </w:p>
    <w:p>
      <w:r>
        <w:t>Bundesgericht, 2023-05-15, FR</w:t>
      </w:r>
    </w:p>
    <w:p>
      <w:r>
        <w:rPr>
          <w:b/>
        </w:rPr>
        <w:t xml:space="preserve">Quelle: </w:t>
      </w:r>
      <w:r>
        <w:t>https://mcp.opencaselaw.ch/entscheid/bger_6B_287_2023</w:t>
      </w:r>
    </w:p>
    <w:p>
      <w:r>
        <w:t>FR: TF 6B 287/2023 du 15 mai 2023</w:t>
      </w:r>
    </w:p>
    <w:p>
      <w:r>
        <w:t>IT: TF 6B 287/2023 del 15 maggio 2023</w:t>
      </w:r>
    </w:p>
    <w:p>
      <w:pPr>
        <w:pStyle w:val="Heading2"/>
      </w:pPr>
      <w:r>
        <w:t>Regeste</w:t>
      </w:r>
    </w:p>
    <w:p>
      <w:r>
        <w:t>Irrecevabilité formelle du recours en matière pénale; défaut d'avance de frais (indemnité du défenseur d'office)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rPr>
          <w:b/>
        </w:rPr>
        <w:t>E. 2</w:t>
      </w:r>
    </w:p>
    <w:p>
      <w:r>
        <w:t>En l'espèce, invité à avancer les frais de la procédure (800 fr.) par ordonnances des 7 mars 2023 et 3 avril 2023 (avec l'indication des conséquences prévues par l' art. 62 al. 3 LTF ), le recourant ne s'en est pas acquitté et n'a pas requis le bénéfice de l'assistance judiciaire.</w:t>
      </w:r>
    </w:p>
    <w:p>
      <w:r>
        <w:rPr>
          <w:b/>
        </w:rPr>
        <w:t>E. 3</w:t>
      </w:r>
    </w:p>
    <w:p>
      <w:r>
        <w:t>L'irrecevabilité manifeste du recours doit être constatée dans la procédure prévue par l' art. 108 al. 1 let. a LTF , frais à charge du recourant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