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287/2015 vom 13. April 2016</w:t>
      </w:r>
    </w:p>
    <w:p>
      <w:r>
        <w:t>Bundesgericht, 2016-04-13, FR</w:t>
      </w:r>
    </w:p>
    <w:p>
      <w:r>
        <w:rPr>
          <w:b/>
        </w:rPr>
        <w:t xml:space="preserve">Quelle: </w:t>
      </w:r>
      <w:r>
        <w:t>https://mcp.opencaselaw.ch/entscheid/bger_6B_287_2015</w:t>
      </w:r>
    </w:p>
    <w:p>
      <w:r>
        <w:t>FR: TF 6B 287/2015 du 13 avril 2016</w:t>
      </w:r>
    </w:p>
    <w:p>
      <w:r>
        <w:t>IT: TF 6B 287/2015 del 13 aprile 2016</w:t>
      </w:r>
    </w:p>
    <w:p>
      <w:pPr>
        <w:pStyle w:val="Heading2"/>
      </w:pPr>
      <w:r>
        <w:t>Regeste</w:t>
      </w:r>
    </w:p>
    <w:p>
      <w:r>
        <w:t>Ordonnance de classement (lésions corporelles par négligence) | Procédure pénale</w:t>
      </w:r>
    </w:p>
    <w:p>
      <w:pPr>
        <w:pStyle w:val="Heading2"/>
      </w:pPr>
      <w:r>
        <w:t>Erwägungen</w:t>
      </w:r>
    </w:p>
    <w:p>
      <w:r>
        <w:rPr>
          <w:b/>
        </w:rPr>
        <w:t>E. 1</w:t>
      </w:r>
    </w:p>
    <w:p>
      <w:r>
        <w:t>La question de la qualité des recourants pour former un recours en matière pénale auprès du Tribunal fédéral peut rester ouverte au vu du sort donné à leur recours. Tel est également le cas de la question de la qualité pour recourir en instance cantonale qui a été déniée par l'autorité précédente aux enfants de E.________, ce dont se plaignent les recourants. En effet, si le Tribunal fédéral devait constater que les enfants de E.________ avaient la qualité pour recourir devant l'instance précédente, il devrait annuler partiellement l'arrêt attaqué et renvoyer la cause à cette autorité pour qu'elle statue au fond sur les conclusions des enfants de E.________. Or cette autorité a déjà statué au fond sur le bien-fondé de telles conclusions, dès lors qu'elle a examiné, et rejeté, celles prises à l'identique par leur mère, mère et enfants procédant conjointement. Par économie de procédure et afin d'éviter un renvoi inutile, il se justifie donc d'examiner immédiatement si le classement était justifié.</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 Il résulte de ce qui précède que les faits ne résultant pas de l'arrêt attaqué, que les recourants invoquent sans démontrer l'arbitraire de leur omission, ne seront pas pris en compte. Les griefs invoquées, dans la mesure où ils sont fondés sur de tels faits, sont irrecevables.</w:t>
      </w:r>
    </w:p>
    <w:p>
      <w:r>
        <w:rPr>
          <w:b/>
        </w:rPr>
        <w:t>E. 3</w:t>
      </w:r>
    </w:p>
    <w:p>
      <w:r>
        <w:t>Les recourants ne contestent pas l'absence d'infraction intentionnelle par l'intimé. Ils ne contestent pas non plus que la violation de ses obligations professionnelles en 2008 ne se trouvait pas dans un rapport de causalité suffisant avec les lésions corporelles graves puis le décès de E.________. Ils contestent uniquement que l'action pénale relative aux faits survenus en novembre 2002 soit prescrite. Ils soutiennent à cet égard que l'obligation juridique d'agir de l'intimé ne se serait pas éteinte à réception du rapport du radiologue du 27 novembre 2002 ou dans les mois qui ont suivi, mais aurait perduré tout au long de la relation thérapeutique qui a pris fin le 11 août 2009, à la suite de la résiliation de cette relation par E.________. L'omission fautive reprochée à l'intimé se serait répétée à chaque consultation jusqu'à la découverte en 2009 de la maladie. Les recourants invoquent une violation de l'art. 71 aCP, respectivement 98 CP, et de l' art. 6 par. 1 CEDH .</w:t>
      </w:r>
    </w:p>
    <w:p>
      <w:r>
        <w:rPr>
          <w:b/>
        </w:rPr>
        <w:t>E. 3.1</w:t>
      </w:r>
    </w:p>
    <w:p>
      <w:r>
        <w:t>Il convient tout d'abord de déterminer le délai de prescription de l'action pénale pour les accusations ayant trait aux faits survenus en novembre 2002.</w:t>
      </w:r>
    </w:p>
    <w:p>
      <w:r>
        <w:rPr>
          <w:b/>
        </w:rPr>
        <w:t>E. 3.1.1</w:t>
      </w:r>
    </w:p>
    <w:p>
      <w:r>
        <w:t>Aux termes de l' art. 389 CP ,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w:t>
      </w:r>
    </w:p>
    <w:p>
      <w:r>
        <w:rPr>
          <w:b/>
        </w:rPr>
        <w:t>E. 3.1.2</w:t>
      </w:r>
    </w:p>
    <w:p>
      <w:r>
        <w:t>L'homicide par négligence ( art. 117 CP ) comme les lésions corporelles par négligence ( art. 125 CP ) - infractions dont les recourants accusent l'intimé - étaient sanctionnées de l'emprisonnement de trois ans au plus ou de l'amende et, depuis le 1er janvier 2007, par une peine privative de liberté de trois ans au plus ou d'une peine pécuniaire.</w:t>
      </w:r>
    </w:p>
    <w:p>
      <w:r>
        <w:rPr>
          <w:b/>
        </w:rPr>
        <w:t>E. 3.1.3</w:t>
      </w:r>
    </w:p>
    <w:p>
      <w:r>
        <w:t>Aux termes de l'art. 70 aCP (en vigueur depuis le 1er octobre 2002 et devenu l'art. 97 aCP), l'action pénale se prescrivait par 30 ans si l'infraction est passible d'une peine de réclusion à vie (let. a), par 15 ans si elle est passible d'une peine d'emprisonnement de plus de trois ans ou d'une peine de réclusion (let. b) et par sept ans si elle est passible d'une autre peine (let. c). Aux termes de l' art. 97 al. 1 CP , dans sa teneur en vigueur depuis le 1er janvier 2014, l'action pénale se prescrit par dix ans si la peine maximale encourue est une peine privative de liberté de trois ans (let. c) et par sept ans si la peine maximale encourue est une autre peine (let. d).</w:t>
      </w:r>
    </w:p>
    <w:p>
      <w:r>
        <w:rPr>
          <w:b/>
        </w:rPr>
        <w:t>E. 3.1.4</w:t>
      </w:r>
    </w:p>
    <w:p>
      <w:r>
        <w:t>Il résulte de ce qui précède que l' art. 97 CP dans sa version actuelle est moins favorable à l'intimé que l' art. 70a CP / 97 aCP. C'est donc ces deux dernières dispositions qui sont applicables aux faits survenus en novembre 2002. L'action pénale se prescrivait ainsi, s'agissant des accusations d'homicide par négligence, respectivement de lésions corporelles par négligence, par sept ans.</w:t>
      </w:r>
    </w:p>
    <w:p>
      <w:r>
        <w:rPr>
          <w:b/>
        </w:rPr>
        <w:t>E. 3.2</w:t>
      </w:r>
    </w:p>
    <w:p>
      <w:r>
        <w:t>Le point de départ du délai de prescription est régi par l' art. 98 CP , identique à l'art. 71 aCP entré en vigueur le 1er octobre 2002.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rPr>
          <w:b/>
        </w:rPr>
        <w:t>E. 3.2.1</w:t>
      </w:r>
    </w:p>
    <w:p>
      <w:r>
        <w:t>La jurisprudence au sujet de l' art. 98 let. b CP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2.4.1 ss p. 90 ss). 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p. 54 s.). La notion d'unité naturelle d'actions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(cf. arrêt 6B_310/2014 du 23 novembre 2015 consid. 4.2 et arrêts cités). La jurisprudence susmentionnée trouve application à la présente affaire, alors même qu'elle a été développée après 2002 (cf. ATF 135 II 78 consid. 3.2 p. 85). A teneur de l' art. 98 let . c CP, la prescription court dès le jour où les agissements coupables ont cessé s'ils ont eu une certaine durée.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 ATF 132 IV 49 consid. 3.1.2.2 p. 55).</w:t>
      </w:r>
    </w:p>
    <w:p>
      <w:r>
        <w:rPr>
          <w:b/>
        </w:rPr>
        <w:t>E. 3.2.2</w:t>
      </w:r>
    </w:p>
    <w:p>
      <w:r>
        <w:t>En l'espèce, l'arrêt attaqué retient que E.________ a consulté l'intimé à diverses reprises entre fin 2002 et août 2009. S'agissant de la question de l'éventualité d'une unité naturelle d'actions, l'arrêt attaqué ne constate pas que l'omission de procéder, entre 2002 et 2009, à des examens propres à déceler un carcinome et à le soigner aurait relevé, dans l'esprit de l'intimé, d'une décision unique. Il retient que les consultations entre 2002 et 2009 étaient espacées par de longues périodes. Ces éléments excluent d'admettre une unité naturelle d'actions entre les différentes omissions reprochées par les recourants à l'intimé. Les conditions permettant de retenir une infraction continue ne sont pas non plus réunies.</w:t>
      </w:r>
    </w:p>
    <w:p>
      <w:r>
        <w:rPr>
          <w:b/>
        </w:rPr>
        <w:t>E. 3.2.3</w:t>
      </w:r>
    </w:p>
    <w:p>
      <w:r>
        <w:t>Il résulte de ce qui précède que le point de départ de l'action pénale n'est pas régi par les art. 71 let. b ou c aCP / art. 98 let. b ou c CP, mais, à défaut, par l'art. 71 let. a aCP, respectivement art. 98 let. a CP . En vertu de cette dernière disposition, le délai de prescription de sept ans de l'action pénale a commencé à courir dès la consultation litigieuse de novembre 2002, voire dans les mois qui ont suivis. Il était donc largement atteint lors du dépôt de plainte le 30 juin 2011.</w:t>
      </w:r>
    </w:p>
    <w:p>
      <w:r>
        <w:rPr>
          <w:b/>
        </w:rPr>
        <w:t>E. 3.3</w:t>
      </w:r>
    </w:p>
    <w:p>
      <w:r>
        <w:t>Les recourants invoquent l'arrêt publié aux ATF 134 II 308 . Cet arrêt retient, ad consid. 5, que l'application dans le temps des dispositions sur l'indemnisation et la réparation morale aux victimes, prévues aux art. 11 ss de loi fédérale du 4 octobre 1991 sur l'aide aux victimes d'infractions (aLAVI, abrogée au 1er janvier 2009) ne dépend pas uniquement du comportement contraire au devoir de vigilance, mais bien plutôt du moment où survient le résultat constitutif de l'infraction. Cette jurisprudence ne concerne que le départ du délai de prescription des actions visées par l'ancienne LAVI, non celui des délais de prescription de l'action pénale (cf. ATF 140 II 7 consid. 3.3 p. 9). Le grief est infondé.</w:t>
      </w:r>
    </w:p>
    <w:p>
      <w:r>
        <w:rPr>
          <w:b/>
        </w:rPr>
        <w:t>E. 3.4</w:t>
      </w:r>
    </w:p>
    <w:p>
      <w:r>
        <w:t>Les recourants estiment que l'application stricte des règles de droit interne en matière de computation du délai de prescription viole l' art. 6 par. 1 CEDH . Ils se réfèrent aux arrêts CEDH Howald Moor et autres c. Suisse du 11 mars 2014 et Esim c. Turquie du 17 septembre 2013. Ces arrêts ont admis une violation de l' art. 6 CEDH dans le cadre de procédures administrative ouvertes par des lésés ou proches de lésés contre la Caisse nationale suisse d'assurance d'une part, l'Etat turc d'autre part. L' art. 6 par. 1 CEDH prescrit que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Cette disposition se rapporte à des droits et obligations de caractère civil et au bien-fondé d'une accusation pénale dirigée contre une personne, mais non des deux en même temps. La personne lésée par une infraction pénale ne peut ainsi pas invoquer les garanties prévues par l' art. 6 CEDH pour obtenir l'ouverture, a fortiori la continuation d'une procédure pénale contre un tiers (cf. ATF 134 IV 297 consid. 4.3.5 p. 306; arrêt 6B_479/2013 du 30 janvier 2014 consid. 3.1). En l'espèce, le grief de violation de l' art. 6 par. 1 CEDH est formulé par les recourants en tant que héritiers de E.________, mais également en tant que proches touchés, dans le cadre d'une procédure pénale afin d'en obtenir la continuation. Conformément à la jurisprudence qui précède, il est infondé.</w:t>
      </w:r>
    </w:p>
    <w:p>
      <w:r>
        <w:rPr>
          <w:b/>
        </w:rPr>
        <w:t>E. 3.5</w:t>
      </w:r>
    </w:p>
    <w:p>
      <w:r>
        <w:t>En conclusion, les autorités cantonales ont à bon droit jugé que l'action pénale en rapport avec les faits survenus en novembre 2002 était prescrite et par conséquent prononcé, respectivement confirmé le classement de la procédure pénale sur ce point.</w:t>
      </w:r>
    </w:p>
    <w:p>
      <w:r>
        <w:rPr>
          <w:b/>
        </w:rPr>
        <w:t>E. 4</w:t>
      </w:r>
    </w:p>
    <w:p>
      <w:r>
        <w:t>Le recours doit être rejeté dans la mesure où il est recevable, au frais des recourants qui succombent ( art. 66 al. 1 LTF ). Ceux-ci assumeront ces frais à parts égales et solidairement ( art. 66 al. 5 LTF ). L'intimé, qui n'a pas été invité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