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6B_286/2022 vom 15. Juni 2023</w:t>
      </w:r>
    </w:p>
    <w:p>
      <w:r>
        <w:t>Bundesgericht, 2023-06-15, FR</w:t>
      </w:r>
    </w:p>
    <w:p>
      <w:r>
        <w:rPr>
          <w:b/>
        </w:rPr>
        <w:t xml:space="preserve">Quelle: </w:t>
      </w:r>
      <w:r>
        <w:t>https://mcp.opencaselaw.ch/entscheid/bger_6B_286_2022</w:t>
      </w:r>
    </w:p>
    <w:p>
      <w:r>
        <w:t>FR: TF 6B_286/2022 du 15 juin 2023</w:t>
      </w:r>
    </w:p>
    <w:p>
      <w:r>
        <w:t>IT: TF 6B_286/2022 del 15 giugno 2023</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du canton de Vaud. Le recours est donc recevable.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l'espèce, le recourant 2 était partie à la procédure de dernière instance cantonale. Il a fait valoir des prétentions en indemnisation du tort moral résultant de l'infraction retenue contre l'intimé. Le montant alloué au recourant 2 en première instance, a été supprimé en appel.</w:t>
      </w:r>
    </w:p>
    <w:p>
      <w:r>
        <w:t>Il a, partant, qualité pour recourir à l'encontre du jugement entrepris.</w:t>
      </w:r>
    </w:p>
    <w:p>
      <w:r>
        <w:t>I. Lésions corporelles graves par négligence</w:t>
      </w:r>
    </w:p>
    <w:p>
      <w:r>
        <w:rPr>
          <w:b/>
        </w:rPr>
        <w:t>E. 4</w:t>
      </w:r>
    </w:p>
    <w:p>
      <w:r>
        <w:t>Les recourants 1 et 2 reprochent à la cour cantonale d'avoir violé l' art. 125 al. 2 CP en acquittant l'intimé du chef de lésions corporelles graves par négligence.</w:t>
      </w:r>
    </w:p>
    <w:p>
      <w:r>
        <w:rPr>
          <w:b/>
        </w:rPr>
        <w:t>E. 4.1.1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6B_375/2022 du 28 novembre 2022 consid. 3.1.1; 6B_33/2021 du 12 juillet 2021 consid. 3.1; 6B_1420/2016 du 3 octobre 2017 consid. 1.1.1).</w:t>
      </w:r>
    </w:p>
    <w:p>
      <w:r>
        <w:t>Selon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arrêts 6B_1081/2020 du 17 novembre 2021 consid. 1.2; 6B_33/2021 précité consid. 3.1).</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4.2.1</w:t>
      </w:r>
    </w:p>
    <w:p>
      <w:r>
        <w:t>L' 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138 consid. 2.1; 125 IV 83 consid. 2b et les références citées).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115 IV 239 consid. 2). Celui qui n'agit pas de manière conforme aux règles de la circulation routière ne peut se prévaloir du principe de la confiance ( ATF 125 IV 83 consid. 2b).</w:t>
      </w:r>
    </w:p>
    <w:p>
      <w:r>
        <w:rPr>
          <w:b/>
        </w:rPr>
        <w:t>E. 4.2.2</w:t>
      </w:r>
    </w:p>
    <w:p>
      <w:r>
        <w:t>L' art. 31 al. 1 LCR dispose que le conducteur devra rester constamment maître de son véhicule de façon à pouvoir se conformer aux devoirs de la prudence.</w:t>
      </w:r>
    </w:p>
    <w:p>
      <w:r>
        <w:rPr>
          <w:b/>
        </w:rPr>
        <w:t>E. 4.2.3</w:t>
      </w:r>
    </w:p>
    <w:p>
      <w:r>
        <w:t>Aux termes de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w:t>
      </w:r>
    </w:p>
    <w:p>
      <w:r>
        <w:rPr>
          <w:b/>
        </w:rPr>
        <w:t>E. 4.2.4</w:t>
      </w:r>
    </w:p>
    <w:p>
      <w:r>
        <w:t>D'après l' art. 33 al. 2 LCR , le conducteur circulera avec une prudence particulière avant les passages pour piétons. Il réduira sa vitesse et s'arrêtera, au besoin, pour laisser la priorité aux piétons qui se trouvent déjà sur le passage ou s'y engagent (cf. également art. 6 al. 1 OCR ). L' art. 49 al. 2 LCR prescrit pour sa part que les piétons, s'ils bénéficient de la priorité sur les passages pour piétons, ne doivent pas s'y lancer à l'improviste.</w:t>
      </w:r>
    </w:p>
    <w:p>
      <w:r>
        <w:t>La "prudence particulière" que doit adopter le conducteur selon l' art. 33 al. 2 LCR signifie qu'il doit porter une attention accrue aux passages pour piétons et à leurs abords ( ATF 121 IV 296 consid. 4b; arrêts 6B_343/2019 du 11 avril 2019 consid. 1.3.1; 6B_929/2017 du 19 mars 2018 consid. 1.2.1). Le conducteur doit ainsi être prêt à s'arrêter à temps si un piéton traverse la chaussée ou en manifeste la volonté (arrêts 6B_1172/2017 du 14 février 2018 consid. 2.3; 6B_262/2016 du 6 janvier 2017 consid. 3.2.2).</w:t>
      </w:r>
    </w:p>
    <w:p>
      <w:r>
        <w:t>D'une manière générale, le degré d'attention exigé du conducteur s'apprécie au regard de toutes les circonstances, telles que la densité du trafic, la configuration des lieux, l'heure, la visibilité et les sources de danger prévisibles ( ATF 129 IV 282 consid. 2.2.1).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 ATF 129 IV 39 consid. 2.2). Il est en effet admis que le devoir de prudence du conducteur ne disparaît pas à l'égard d'un piéton qui s'élance sur un passage pour piétons de manière contraire aux règles (arrêts 6B_343/2019 précité consid. 1.3.1; 6B_262/2016 précité consid. 3.2.2).</w:t>
      </w:r>
    </w:p>
    <w:p>
      <w:r>
        <w:rPr>
          <w:b/>
        </w:rPr>
        <w:t>E. 4.3</w:t>
      </w:r>
    </w:p>
    <w:p>
      <w:r>
        <w:t>La cour cantonale a libéré l'intimé du chef de prévention de lésions corporelles graves par négligence.</w:t>
      </w:r>
    </w:p>
    <w:p>
      <w:r>
        <w:t>La cour cantonale a retenu que les lésions dont avait souffert et souffrait toujours le recourant 2 devaient être qualifiées de graves au sens de l' art. 122 CP . Ses blessures avaient en effet mis sa vie en danger. En outre, des séquelles neurologiques importantes perdurent à ce jour, près de deux ans après les faits, et l'enfant risque d'en souffrir sa vie durant. De surcroît, il a été hospitalisé durant près de six mois après l'accident et il a subi et devra encore subir des interventions chirurgicales.</w:t>
      </w:r>
    </w:p>
    <w:p>
      <w:r>
        <w:t>La cour cantonale a estimé que l'intimé n'avait pas fait preuve de négligence coupable au sens de l' art. 12 al. 3 CP . Elle a retenu qu'il ressortait des pièces du dossier, en particulier du rapport d'expertise, qu'au point de choc, l'enfant circulait sur sa trottinette à une vitesse comprise entre 9 km/h et 11 km/h et que l'intimé roulait à une vitesse de 45 km/h à 47 km/h. Le mur d'enceinte de l'école, d'une hauteur de 1.3 m, masquait le jeune garçon jusqu'à environ 1.5 - 1.6 s avant que le choc ne se produise. La consommation d'alcool n'avait en outre pas altéré les capacités de réaction de l'intimé. Le visionnage des images de la caméra de vidéosurveillance, permettait de voir l'enfant sur sa trottinette, prendre de l'élan le long du bâtiment, se faufiler entre les barrières censées retenir les piétons à l'approche du passage et traverser, sans freiner, la chaussée immédiatement devant le véhicule de l'intimé. Ces constatations étaient reprises dans les rapports de police des 14 juin et 3 septembre 2021. La cour cantonale a également retenu qu'aux débats de première instance, le témoin, F._________, avait déclaré que quelques mois avant l'accident, elle avait participé à une soirée sportive organisée dans l'établissement scolaire jouxtant le passage piétons où s'est produit l'accident. Ce soir-là, elle avait vu le recourant 2 seul de 15h30 à 22h. A un moment, elle avait vu l'enfant circuler sur sa trottinette à une vitesse qui ne lui aurait pas permis de s'arrêter à temps et avait constaté qu'il allait passer sous la barrière sans s'arrêter. Elle avait alors hurlé et l'enfant s'était arrêté sur le passage piétons. Elle a déclaré que s'il y avait eu une voiture ce soir-là, un accident serait arrivé même avec un conducteur prudent.</w:t>
      </w:r>
    </w:p>
    <w:p>
      <w:r>
        <w:t>La cour cantonale a également retenu que l'intimé avait expliqué qu'il connaissait bien les lieux, notamment la présence d'un mur longeant la chaussée, masquant d'éventuels piétons ainsi que l'existence de barrières sur le chemin d'accès au dit passage piétons, placées là pour forcer les personnes venant du chemin à ralentir avant de s'engager sur la route. A l'approche du passage piétons, il s'était déporté au centre de la chaussée afin de s'éloigner de la partie non visible et parer à l'éventualité d'un piéton qui s'engagerait sur la route sans s'arrêter. Il avait expliqué qu'à cette heure, soit 20h45, il était peu probable qu'un jeune enfant soit présent sur les lieux. Il avait ajouté avoir vu des enfants et des adolescents à proximité de la zone sportive près de l'école, mais personne sur le passage piétons. Il a indiqué que ce passage piétons était précédé par un dos d'âne au niveau de l'intersection située à quelques mètres, obligeant les automobilistes à ralentir.</w:t>
      </w:r>
    </w:p>
    <w:p>
      <w:r>
        <w:t>La cour cantonale a considéré qu'au vu de ces circonstances, en particulier du fait que l'enfant avait surgi du muret qui le dissimulait à une vitesse largement supérieure à celle d'un piéton au pas, la soudaineté de la présence de l'enfant sur le passage piétons constituait une circonstance tout à fait exceptionnelle que l'intimé ne pouvait envisager, d'autant qu'il ne devait pas s'attendre à ce que l'enfant parvienne à slalomer entre les barrières à une vitesse aussi élevée. Ainsi, elle a estimé que le lien de causalité adéquate était rompu entre le comportement de l'intimé et la survenance de l'accident, compte tenu du comportement imprévisible de l'enfant qui relarguait à l'arrière-plan celui de l'intimé. Pour la cour cantonale, au vu du déroulement des faits, force était d'admettre que l'accident était inéluctable, sauf à exiger des automobilistes empruntant ce tronçon de rouler à une vitesse maximale de 35 km/h ou même de s'arrêter systématiquement avant le passage piétons en cause, nonobstant l'autorisation de rouler à 50 km /h dans cette zone et l'absence d'un feu de signalisation à cet endroit.</w:t>
      </w:r>
    </w:p>
    <w:p>
      <w:r>
        <w:rPr>
          <w:b/>
        </w:rPr>
        <w:t>E. 4.4.1</w:t>
      </w:r>
    </w:p>
    <w:p>
      <w:r>
        <w:t>En l'espèce, il ne fait pas de doute que le recourant 2 a subi des lésions corporelles graves.</w:t>
      </w:r>
    </w:p>
    <w:p>
      <w:r>
        <w:rPr>
          <w:b/>
        </w:rPr>
        <w:t>E. 4.4.2</w:t>
      </w:r>
    </w:p>
    <w:p>
      <w:r>
        <w:t>Il convient de déterminer si l'intimé a fait preuve de négligence coupable. A l'approche d'un passage pour piétons, le conducteur se doit de circuler avec une prudence particulière (cf. art. 33 al. 2 LCR ). La vitesse dépend des circonstances, notamment de la visibilité. En tout état, la vitesse doit être adaptée de telle manière à pouvoir accorder la priorité à un piéton. Ce n'est que si personne ne se trouve à proximité du passage pour piétons, si le conducteur peut admettre qu'aucun piéton ne surgira à l'improviste ou encore si on lui fait clairement comprendre qu'il a la priorité, que le conducteur n'est pas obligé de réduire sa vitesse à l'approche du passage piétons. Si le conducteur ne bénéficie pas d'une bonne visibilité de toute la chaussée et du trottoir à proximité du passage, celui-ci doit modérer sa vitesse de sorte à pouvoir accorder la priorité aux piétons masqués derrière l'obstacle (cf. arrêts 6B_407/2022 du 23 mai 2022 consid. 4.2; 6B_262/2016 précité consid. 3.2.2; 6B_493/2011 du 12 décembre 2011 consid. 4.2.2; BUSSY ET AL., Code suisse de la circulation routière commenté, 4e éd. 2015, n° 2.5 ad art. 33 LCR ). L'intimé avait une bonne connaissance des lieux, il a expliqué qu'il savait que le muret d'enceinte de l'école longeant la chaussée masquait d'éventuels piétons. Certes ce n'était pas une heure de sortie des classes, mais l'intimé a expliqué avoir vu des enfants et adolescents à proximité de la zone sportive près de l'école, de sorte que la présence d'un enfant ne pouvait être exclue. L'intimé s'est d'ailleurs déporté au centre de la chaussée afin de s'éloigner de la partie non visible. Cette manoeuvre montre bien qu'il avait perçu l'éventualité qu'un piéton puisse s'engager sur la route sans s'arrêter. Or, sachant qu'un piéton à proximité du passage pouvait être dissimulé derrière le muret, l'intimé se devait d'adapter sa vitesse, de sorte à pouvoir lui accorder la priorité. La vitesse de l'intimé de 45 à 47 km/h, bien que proche de la vitesse prescrite sur ce tronçon, était dans de telles circonstances excessive (cf. ATF 121 IV 286 consid. 4b). A cet égard, les experts ont indiqué que pour pouvoir s'immobiliser avant le choc, en voyant l'enfant dès qu'il n'était plus caché par le muret, la vitesse du véhicule n'aurait pas dû dépasser 35 km/h. Compte tenu de l'absence de visibilité en raison du muret et de la bonne connaissance de la configuration des lieux par l'intimé, celui-ci a fait preuve d'imprévoyance coupable en n'adaptant pas sa vitesse à l'approche du passage pour piétons jouxtant l'école.</w:t>
      </w:r>
    </w:p>
    <w:p>
      <w:r>
        <w:rPr>
          <w:b/>
        </w:rPr>
        <w:t>E. 4.4.3</w:t>
      </w:r>
    </w:p>
    <w:p>
      <w:r>
        <w:t>Les recourants 1 et 2 reprochent à la cour cantonale d'avoir considéré que le comportement de l'enfant avait eu pour effet d'interrompre le lien de causalité adéquate.</w:t>
      </w:r>
    </w:p>
    <w:p>
      <w:r>
        <w:t>On peut suivre le recourant 1 lorsqu'il souligne qu'il n'était pas extraordinaire, dans une petite ville, un soir du mois de juin, que des enfants et adolescents jouent à l'extérieur, qui plus est dans une zone scolaire et sportive. L'intimé a d'ailleurs admis avoir croisé des enfants et adolescents à proximité de la zone sportive près de l'école. Il n'était pas d'avantage surprenant que certains d'entre eux puissent se trouver au guidon de trottinettes ou d'autres engins à roues, avec une vitesse supérieure à celle d'un piéton au pas. Au demeurant, il est notoire que la notion de prudence vis-à-vis de la circulation est particulièrement ténue chez les enfants.</w:t>
      </w:r>
    </w:p>
    <w:p>
      <w:r>
        <w:t>Le fait qu'un enfant surgisse de derrière un obstacle, à une vitesse supérieure à celle du pas, sur un passage pour piétons jouxtant une école, ne saurait être considéré comme une circonstance exceptionnelle et ce, quand bien même, l'existence de barrières censées retenir les piétons. Partant, le comportement de l'enfant n'était pas imprévisible au point de reléguer à l'arrière-plan la faute du conducteur, de telle sorte que le lien de causalité adéquate n'a pas été rompu.</w:t>
      </w:r>
    </w:p>
    <w:p>
      <w:r>
        <w:rPr>
          <w:b/>
        </w:rPr>
        <w:t>E. 4.5</w:t>
      </w:r>
    </w:p>
    <w:p>
      <w:r>
        <w:t>Partant, le grief des recourants 1 et 2 est admis. La cour cantonale a violé le droit fédéral en libérant l'intimé du chef d'accusation de lésions corporelles graves par négligence.</w:t>
      </w:r>
    </w:p>
    <w:p>
      <w:r>
        <w:t>II. Frais</w:t>
      </w:r>
    </w:p>
    <w:p>
      <w:r>
        <w:rPr>
          <w:b/>
        </w:rPr>
        <w:t>E. 5</w:t>
      </w:r>
    </w:p>
    <w:p>
      <w:r>
        <w:t>Les recours doivent êtres admis, le jugement attaqué annulé et la cause renvoyée à l'autorité cantonale pour nouvelle décision.</w:t>
      </w:r>
    </w:p>
    <w:p>
      <w:r>
        <w:t>Une partie des frais judiciaires est mise à la charge de A._________, qui succombe, le canton de Vaud n'ayant pas à en supporter ( art. 66 al. 1 et 4 LTF ).</w:t>
      </w:r>
    </w:p>
    <w:p>
      <w:r>
        <w:t>Le recourant 2 peut prétendre à de pleins dépens, à la charge, pour moitié chacun, d'une part, du canton de Vaud et, d'autre part, de A._________ ( art. 68 al. 1 et 2 LTF ). Sa demande d'assistance judiciaire devient ainsi sans objet ( art. 64 al. 2 LTF ).</w:t>
      </w:r>
    </w:p>
    <w:p>
      <w:r>
        <w:t>Il n'y a pas lieu d'allouer une indemnité à l'accusateur public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