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286/2020 vom 1. Juli 2020</w:t>
      </w:r>
    </w:p>
    <w:p>
      <w:r>
        <w:t>Bundesgericht, 2020-07-01, FR</w:t>
      </w:r>
    </w:p>
    <w:p>
      <w:r>
        <w:rPr>
          <w:b/>
        </w:rPr>
        <w:t xml:space="preserve">Quelle: </w:t>
      </w:r>
      <w:r>
        <w:t>https://mcp.opencaselaw.ch/entscheid/bger_6B_286_2020</w:t>
      </w:r>
    </w:p>
    <w:p>
      <w:r>
        <w:t>FR: TF 6B 286/2020 du 1 juillet 2020</w:t>
      </w:r>
    </w:p>
    <w:p>
      <w:r>
        <w:t>IT: TF 6B 286/2020 del 1 luglio 2020</w:t>
      </w:r>
    </w:p>
    <w:p>
      <w:pPr>
        <w:pStyle w:val="Heading2"/>
      </w:pPr>
      <w:r>
        <w:t>Regeste</w:t>
      </w:r>
    </w:p>
    <w:p>
      <w:r>
        <w:t>Arbitraire ; expulsion (art. 66a CP) | Droit pénal (en général)</w:t>
      </w:r>
    </w:p>
    <w:p>
      <w:pPr>
        <w:pStyle w:val="Heading2"/>
      </w:pPr>
      <w:r>
        <w:t>Erwägungen</w:t>
      </w:r>
    </w:p>
    <w:p>
      <w:r>
        <w:rPr>
          <w:b/>
        </w:rPr>
        <w:t>E. 1</w:t>
      </w:r>
    </w:p>
    <w:p>
      <w:r>
        <w:t>Le recourant reproche à la cour cantonale d'avoir renoncé à ordonner l'expulsion de l'intimé du territoire suisse. Il se plaint en outre, à cet égard, d'un établissement arbitraire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1.2</w:t>
      </w:r>
    </w:p>
    <w:p>
      <w:r>
        <w:t>Il est incontesté que l'intimé a commis une infraction - soit une infraction à l' art. 19 al. 2 LStup - qui tombe sous le coup de l' art. 66a al. 1 CP (let. o). La cour cantonale a cependant renoncé à ordonner une expulsion, en faisant application de l' art. 66a al. 2 CP , ce que le recourant critique.</w:t>
      </w:r>
    </w:p>
    <w:p>
      <w:r>
        <w:rPr>
          <w:b/>
        </w:rPr>
        <w:t>E. 1.3</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1.3.1</w:t>
      </w:r>
    </w:p>
    <w:p>
      <w:r>
        <w:t>La clause de rigueur permet de garantir le principe de la proportionnalité (cf. art. 5 al. 2 Cst. ; ATF 144 IV 332 consid. 3.3.1 p. 340; arrêt 6B_690/2019 du 4 décembre 2019 consid. 3.4.2 destiné à la publication). Elle doit être appliquée de manière restrictive ( ATF 144 IV 332 consid. 3.3.1 p. 340; arrêt 6B_690/2019 précité consid. 3.4.2 destiné à la publication). Selon la jurisprudence du Tribunal fédéral (cf. ATF 144 IV 332 consid. 3.3.2 p. 340 s.; arrêt 6B_690/2019 précité consid. 3.4 destiné à la publication),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6B_312/2020 du 11 mai 2020 consid. 2.1.1).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6B_312/2020 précité consid. 2.1.1; 6B_255/2020 du 6 mai 2020 consid. 1.2.1).</w:t>
      </w:r>
    </w:p>
    <w:p>
      <w:r>
        <w:rPr>
          <w:b/>
        </w:rPr>
        <w:t>E. 1.3.2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6B_312/2020 précité consid. 2.1.2). Un séjour légal de dix années suppose en principe une bonne intégration de l'étranger ( ATF 144 I 266 consid. 3.9 p. 277 s.).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w:t>
      </w:r>
    </w:p>
    <w:p>
      <w:r>
        <w:rPr>
          <w:b/>
        </w:rPr>
        <w:t>E. 1.3.3</w:t>
      </w:r>
    </w:p>
    <w:p>
      <w:r>
        <w:t>La cour cantonale, après avoir rappelé la situation personnelle, professionnelle et familiale de l'intimé, a considéré que ce dernier pouvait se prévaloir du droit au respect de sa vie familiale, eu égard à sa relation avec sa compagne et à la présence de son fils en Suisse. Selon elle, la première condition cumulative de l' art. 66a al. 2 CP était ainsi réalisée. Le recourant conteste cette appréciation. Il relativise, d'une part, l'intégration de l'intimé en Suisse et prétend, d'autre part, que ce dernier pourrait s'installer avec sa famille au Kosovo, voire entretenir à distance une relation avec sa compagne et son fils, de sorte qu'une expulsion du territoire suisse ne placerait pas celui-ci dans une situation personnelle grave. Or, il ressort du jugement attaqué que l'intimé est arrivé en Suisse à l'âge de 4 mois, qu'il y a depuis vécu constamment, jusqu'à l'âge adulte, en bénéficiant d'autorisations de séjour puis d'établissement. Indépendamment de sa situation professionnelle ou familiale, il y a lieu d'admettre qu'une expulsion de l'intimé porterait atteinte à son droit au respect de sa vie privée au sens de l' art. 8 par. 1 CEDH (cf. dans ce sens les arrêts 6B_255/2020 précité consid. 1.2.3; 6B_153/2020 du 28 avril 2020 consid. 1.3.4), de sorte que la première condition cumulative de l' art. 66a al. 2 CP est réalisée.</w:t>
      </w:r>
    </w:p>
    <w:p>
      <w:r>
        <w:rPr>
          <w:b/>
        </w:rPr>
        <w:t>E. 1.4</w:t>
      </w:r>
    </w:p>
    <w:p>
      <w:r>
        <w:t>La première condition cumulative de l' art. 66a al. 2 CP étant remplie, il convient d'examiner si l'intérêt privé de l'intimé à demeurer en Suisse pouvait l'emporter sur l'intérêt public présidant à son expulsion.</w:t>
      </w:r>
    </w:p>
    <w:p>
      <w:r>
        <w:rPr>
          <w:b/>
        </w:rPr>
        <w:t>E. 1.4.1</w:t>
      </w:r>
    </w:p>
    <w:p>
      <w:r>
        <w:t>Dans l'appréciation du cas de rigueur, l' art. 66a al. 2 2 ème phrase CP impose expressément de prendre en considération la situation particulière de l'étranger qui est né ou qui a grandi en Suisse. L'examen de la clause de rigueur doit être effectué dans chaque cas sur la base des critères d'intégration habituels (cf. ATF 144 IV 332 consid. 3.3.2 p. 340 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(arrêts 6B_255/2020 précité consid. 1.3.1 et les références citées; 6B_690/2019 précité consid. 3.4.4 destiné à la publication).</w:t>
      </w:r>
    </w:p>
    <w:p>
      <w:r>
        <w:rPr>
          <w:b/>
        </w:rPr>
        <w:t>E. 1.4.2</w:t>
      </w:r>
    </w:p>
    <w:p>
      <w:r>
        <w:t>L'autorité précédente a exposé, s'agissant de l'intérêt privé de l'intimé à demeurer en Suisse, qu'il convenait de tenir compte du fait que celui-ci avait vécu dans ce pays dès l'âge de 4 mois, y avait accompli sa scolarité, son certificat fédéral de capacité, et y avait travaillé, que l'intéressé y avait par ailleurs ses principaux liens familiaux, en particulier sa compagne et son fils, avec lesquels il vivait avant sa détention. Les relations de l'intimé avec ses parents et l'un de ses frères vivant en Suisse étaient également harmonieuses. Durant sa détention, l'intimé avait entretenu de bons contacts avec ses codétenus et le personnel des établissements pénitentiaires qu'il avait fréquentés. Son transfert en milieu ouvert avait été préconisé. Une entreprise avait aussi manifesté la volonté d'engager l'intimé dès sa libération. En 2003 puis 2008, le Service de la population et des migrations avait adressé à l'intimé deux avertissements, fondés sur des condamnations qui n'étaient plus inscrites au casier judiciaire, de sorte qu'elles ne pouvaient plus être prises en considération. L'intimé s'était certes livré à un trafic de stupéfiants dans des circonstances qui rendaient la commission des infractions particulièrement répréhensible. Il avait cependant agi alors qu'il était "accro" à la cocaïne. Sa condamnation, en 2012, pour une infraction aux règles de la circulation routière, ne révélait pas un ancrage dans la délinquance. L'autorité précédente a ainsi estimé, en précisant qu'il s'agissait d'un "cas limite", que l'intérêt privé de l'intimé à demeurer en Suisse l'emportait sur l'intérêt public à son expulsion.</w:t>
      </w:r>
    </w:p>
    <w:p>
      <w:r>
        <w:rPr>
          <w:b/>
        </w:rPr>
        <w:t>E. 1.4.3</w:t>
      </w:r>
    </w:p>
    <w:p>
      <w:r>
        <w:t>L'appréciation de la cour cantonale ne peut être suivie. L'intérêt privé de l'intimé à demeurer en Suisse est certes important, puisque celui-ci y a vécu pratiquement toute sa vie, qu'il y dispose d'une certaine intégration professionnelle et que sa compagne et son fils y résident. Le recourant ne peut être suivi lorsqu'il affirme que l'intimé n'aurait "en aucun cas participé à la vie économique suisse" car son commerce de voiture, initié en 2017, ne lui aurait rapporté qu'un chiffre d'affaires modeste. Il ressort en tout cas du jugement attaqué que l'intéressé n'a jamais émargé à l'aide sociale. Cela dit, l'intimé ne peut se prévaloir d'une intégration exemplaire en Suisse. En effet, ce dernier - outre qu'il fait l'objet de poursuites - a été à plusieurs reprises condamné pénalement, avant et après sa majorité, de sorte que l'on peut identifier chez lui un mépris constant de l'ordre juridique suisse. L'intimé n'a pas tenu compte des avertissements qui lui ont été adressés, en 2003 puis en 2008, par les autorités compétentes en matière de migration, puisqu'il a derechef été condamné après chacun desdits avertissements. Concernant la situation familiale de l'intimé, il apparaît que la compagne de ce dernier vient également du Kosovo et que le couple échange parfois en albanais. Ainsi, en cas d'expulsion de l'intimé dans son pays d'origine, sa compagne pourrait soit y effectuer des visites avec leur fils, soit s'y établir (cf. par exemple en ce sens l'arrêt 2C_162/2018 du 25 mai 2018 consid. 5.2), puisqu'elle connaît le Kosovo et en parle la langue. S'il ressort du jugement attaqué que l'intéressée a déclaré ne pas souhaiter retourner au Kosovo, il n'apparaît pas non plus que sa situation en Suisse l'empêcherait de suivre le père de son enfant au Kosovo. En Suisse, l'intimé n'est pas dépourvu de perspectives professionnelles, notamment car il peut se prévaloir d'un certificat fédéral de capacité et qu'une entreprise semble disposée à l'embaucher lors de sa libération. On ne voit cependant pas que son intégration professionnelle au Kosovo pourrait être particulièrement difficile, puisque l'intéressé parle l'albanais, dispose d'une formation ainsi que d'un réseau familial dans ce pays, où il a d'ailleurs déjà livré un véhicule automobile lors d'un séjour. L'intérêt public présidant à l'expulsion de l'intimé est considérable. Ce dernier s'est adonné à un important trafic de stupéfiants, prenant la tête d'une structure qu'il a composée pour l'occasion. L'autorité précédente a relevé que la culpabilité de l'intimé était très lourde. Il ressort en outre du jugement attaqué que si celui-ci a en partie développé son activité criminelle afin de satisfaire sa propre passion pour les stupéfiants, l'intimé s'est montré prudent dans son trafic et a délégué les opérations les plus risquées à ses amis. Son comportement n'était donc pas celui d'un toxicomane cherchant simplement à s'approvisionner en procédant, à la marge, à du trafic de stupéfiants. Il convient de rappeler, à cet égard, que la Cour européenne des droits de l'Homme estime que, compte tenu des ravages de la drogue dans la population, les autorités sont fondées à faire preuve d'une grande fermeté à l'encontre de ceux qui contribuent à la propagation de ce fléau (cf. arrêts CourEDH K. M. c. Suisse du 2 juin 2015 [requête n° 6009/10] § 55; Dalia c. France du 19 février 1998, Recueil CourEDH 1998-I 76 § 54; cf. aussi arrêt 6B_153/2020 précité consid. 1.4.3). La condamnation de l'intimé confirme de surcroît sa tendance à fouler au pied l'ordre juridique dans son pays d'accueil, cela nonobstant la naissance d'un fils en 2016. Au vu de ce qui précède, compte tenu de la gravité de l'infraction sanctionnée en matière de stupéfiants, de l'intégration médiocre de l'intimé en Suisse, de sa persistance à violer l'ordre juridique de ce pays, d'une part, des perspectives d'intégration dans son pays d'origine qui ne sont pas négligeables, d'autre part, il convient d'admettre que l'intérêt public présidant à son expulsion l'emporte sur l'intérêt privé de l'intéressé à demeurer dans son pays d'accueil, cela même si la mesure en question risque temporairement de le priver d'un contact quotidien avec sa compagne et son fils. La seconde condition pour l'application de l' art. 66a al. 2 CP n'étant pas réalisée, la cour cantonale a violé le droit fédéral en renonçant à ordonner l'expulsion de l'intimé. Le recours doit donc être admis, le jugement attaqué annulé et la cause renvoyée à l'autorité cantonale afin que celle-ci ordonne l'expulsion de l'intimé du territoire suisse.</w:t>
      </w:r>
    </w:p>
    <w:p>
      <w:r>
        <w:rPr>
          <w:b/>
        </w:rPr>
        <w:t>E. 2</w:t>
      </w:r>
    </w:p>
    <w:p>
      <w:r>
        <w:t>Le recours doit être admis. Il y a lieu d'accorder à Me Véronique Fontana, désignée en qualité d'avocate d'office de l'intimé, une indemnité pour son activité devant le Tribunal fédéral. Il peut être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