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6B_285/2010 vom 6. April 2010</w:t>
      </w:r>
    </w:p>
    <w:p>
      <w:r>
        <w:t>Bundesgericht, 2010-04-06, DE</w:t>
      </w:r>
    </w:p>
    <w:p>
      <w:r>
        <w:rPr>
          <w:b/>
        </w:rPr>
        <w:t xml:space="preserve">Quelle: </w:t>
      </w:r>
      <w:r>
        <w:t>https://mcp.opencaselaw.ch/entscheid/bger_6B_285_2010</w:t>
      </w:r>
    </w:p>
    <w:p>
      <w:r>
        <w:t>FR: TF 6B_285/2010 du 6 avril 2010</w:t>
      </w:r>
    </w:p>
    <w:p>
      <w:r>
        <w:t>IT: TF 6B_285/2010 del 6 aprile 2010</w:t>
      </w:r>
    </w:p>
    <w:p>
      <w:pPr>
        <w:pStyle w:val="Heading2"/>
      </w:pPr>
      <w:r>
        <w:t>Erwägungen</w:t>
      </w:r>
    </w:p>
    <w:p>
      <w:r>
        <w:rPr>
          <w:b/>
        </w:rPr>
        <w:t>E. 1</w:t>
      </w:r>
    </w:p>
    <w:p>
      <w:r>
        <w:t>Die Beschwerde richtet sich dagegen, dass auf eine Strafanzeige wegen Deportation und Staatsterrorismus nicht eingetreten und im angefochtenen Entscheid eine dagegen gerichtete Beschwerde abgewiesen wurden. Es kann offen bleiben, ob der Beschwerdeführer Opfer im Sinne des OHG und damit gestützt auf Art. 81 Abs. 1 lit. b Ziff. 5 BGG zur Beschwerde in Strafsachen legitimiert ist. In einer Beschwerde ans Bundesgericht ist darzulegen, inwiefern der angefochtene Entscheid nach Auffassung des Beschwerdeführers gegen das schweizerische Recht im Sinne von Art. 95 BGG verstossen soll ( Art. 42 Abs. 2 BGG ). Dieser Voraussetzung genügt die Beschwerde nicht, weil sie sich auf eine Aufzählung der Strafanzeigen beschränkt, die der Beschwerdeführer erhebt. Auch der ergänzenden Eingabe vom 31. März 2010 ist nicht zu entnehmen, inwieweit der angefochtene Entscheid gegen Art. 35 oder Art. 7 BV verstossen soll.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