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6B_284/2012 vom 29. Oktober 2012</w:t>
      </w:r>
    </w:p>
    <w:p>
      <w:r>
        <w:t>Bundesgericht, 2012-10-29, FR</w:t>
      </w:r>
    </w:p>
    <w:p>
      <w:r>
        <w:rPr>
          <w:b/>
        </w:rPr>
        <w:t xml:space="preserve">Quelle: </w:t>
      </w:r>
      <w:r>
        <w:t>https://mcp.opencaselaw.ch/entscheid/bger_6B_284_2012</w:t>
      </w:r>
    </w:p>
    <w:p>
      <w:r>
        <w:t>FR: TF 6B_284/2012 du 29 octobre 2012</w:t>
      </w:r>
    </w:p>
    <w:p>
      <w:r>
        <w:t>IT: TF 6B_284/2012 del 29 ottobre 2012</w:t>
      </w:r>
    </w:p>
    <w:p>
      <w:pPr>
        <w:pStyle w:val="Heading2"/>
      </w:pPr>
      <w:r>
        <w:t>Erwägungen</w:t>
      </w:r>
    </w:p>
    <w:p>
      <w:r>
        <w:rPr>
          <w:b/>
        </w:rPr>
        <w:t>E. 1</w:t>
      </w:r>
    </w:p>
    <w:p>
      <w:r>
        <w:t>Les deux recours, dirigés contre la même décision, portent sur les mêmes faits et sur des questions de droit qui se chevauchent. Il se justifie de joindre les causes et de statuer par un seul arrêt ( art. 71 LTF et 24 PCF).</w:t>
      </w:r>
    </w:p>
    <w:p>
      <w:r>
        <w:rPr>
          <w:b/>
        </w:rPr>
        <w:t>E. 2</w:t>
      </w:r>
    </w:p>
    <w:p>
      <w:r>
        <w:t>La recourante reproche à l'autorité cantonale de n'avoir pas expliqué pour quels motifs elle avait exclu ses souffrances en lien avec le comportement de la victime en automne 2007 et ainsi n'avait pas pris cet élément en considération dans l'appréciation de sa faute. Elle y voit une violation de son droit d'être entendue.</w:t>
      </w:r>
    </w:p>
    <w:p>
      <w:r>
        <w:rPr>
          <w:b/>
        </w:rPr>
        <w:t>E. 2.1</w:t>
      </w:r>
    </w:p>
    <w:p>
      <w:r>
        <w:t>Ce droit, garanti par l' art. 29 al. 2 Cst. ,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w:t>
      </w:r>
    </w:p>
    <w:p>
      <w:r>
        <w:rPr>
          <w:b/>
        </w:rPr>
        <w:t>E. 2.2</w:t>
      </w:r>
    </w:p>
    <w:p>
      <w:r>
        <w:t>L'autorité cantonale a retenu que la recourante avait souffert. Elle a toutefois imputé ses souffrances non au comportement de la victime, comme l'invoquait la recourante, mais à celui du recourant (arrêt entrepris, p. 29). Au vu des circonstances retenues par l'autorité précédente et en particulier du fait que la recourante avait appris que le recourant, avec qui elle vivait et qui était le père de son enfant d'un an, entretenait une relation intime avec une autre femme, qui était en outre tombée enceinte, cette motivation est compréhensible. Le grief de violation du droit d'être entendu est partant infondé. Les souffrances invoquées n'ayant pas été retenues, l'autorité précédente n'avait pas à justifier pour quel motif elle n'en tenait pas compte dans l'appréciation de la faute. Ici encore, le moyen s'avère infondé.</w:t>
      </w:r>
    </w:p>
    <w:p>
      <w:r>
        <w:rPr>
          <w:b/>
        </w:rPr>
        <w:t>E. 3</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137 I 1 consid. 2.4 p. 5). Le Tribunal fédéral n'examine le moyen fondé sur la violation d'un droit constitutionnel que si le grief a été invoqué et motivé de manière précise ( art. 106 al. 2 LTF ; ATF 138 III 252 consid. 2.2 p. 255).</w:t>
      </w:r>
    </w:p>
    <w:p>
      <w:r>
        <w:t>Le recourant fonde son raisonnement sur plusieurs faits ne résultant pas de l'arrêt entrepris, ce sans invoquer ni démontrer qu'ils auraient été omis de manière arbitraire. Il ne peut en être tenu compte.</w:t>
      </w:r>
    </w:p>
    <w:p>
      <w:r>
        <w:rPr>
          <w:b/>
        </w:rPr>
        <w:t>E. 4</w:t>
      </w:r>
    </w:p>
    <w:p>
      <w:r>
        <w:t>Les recourants ne contestent plus les verdicts de culpabilité. Ils estiment en revanche que le prononcé de peines privatives de liberté à vie viole le principe d'égalité de traitement de même que les art. 19, 47, 49 et 50 CP.</w:t>
      </w:r>
    </w:p>
    <w:p>
      <w:r>
        <w:rPr>
          <w:b/>
        </w:rPr>
        <w:t>E. 4.1.1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s.).</w:t>
      </w:r>
    </w:p>
    <w:p>
      <w:r>
        <w:rPr>
          <w:b/>
        </w:rPr>
        <w:t>E. 4.1.2</w:t>
      </w:r>
    </w:p>
    <w:p>
      <w:r>
        <w:t>En vertu de l' art. 50 CP , si le jugement doit être motivé, le juge indique dans les motifs les circonstances pertinentes pour la fixation de la peine et leur importance. Ainsi, le condamné doit connaître les aspects pertinents qui ont été pris en considération, et comment ils ont été appréciés ( ATF 134 IV 17 consid. 2.1 p. 19 s). Le juge n'est toutefois pas tenu d'exprimer en chiffres ou en pourcentage l'importance qu'il accorde à chacun des éléments qu'il cite ( ATF 136 IV 55 consid. 5.6 p. 61). Il peut également passer sous silence les éléments qui, sans abus du pouvoir d'appréciation, lui paraissent non pertinents ou d'une importance mineure. La motivation doit toutefois justifier la peine prononcée, en permettant de suivre le raisonnement adopté ( ATF 127 IV 101 consid. 2c p. 104 s. et arrêt 6B_597/2010 du 22 décembre 2010 consid. 5.1).</w:t>
      </w:r>
    </w:p>
    <w:p>
      <w:r>
        <w:rPr>
          <w:b/>
        </w:rPr>
        <w:t>E. 4.1.3</w:t>
      </w:r>
    </w:p>
    <w:p>
      <w:r>
        <w:t>Les circonstances aggravantes ou atténuantes justifiant l'extension du cadre légal vers le haut ou vers le bas (état de fait qualifié ou privilégié) ne peuvent fonder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(cf. ATF 118 IV 342 consid. 2b p. 347; en matière d'assassinat v. aussi arrêt 6B_36/2011 du 18 octobre 2011 consid. 2.1 et arrêts cités).</w:t>
      </w:r>
    </w:p>
    <w:p>
      <w:r>
        <w:rPr>
          <w:b/>
        </w:rPr>
        <w:t>E. 4.1.4</w:t>
      </w:r>
    </w:p>
    <w:p>
      <w:r>
        <w:t>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est exigée (cf. ATF 127 IV 101 consid. 2c p. 105; arrêt 6B_36/2011 du 18 octobre 2011 consid. 2.1). Le juge qui reconnaît un prévenu coupable d'assassinat peut le condamner soit à une peine privative de liberté de durée déterminée de 10 ans au moins mais de 20 ans au plus ( art. 40 1 ère phrase CP) soit à la peine privative de liberté à vie ( art. 112 CP ). Quand il décide de franchir le seuil des 20 ans, le juge doit indiquer pour quel motif une peine de durée déterminée, même de 20 ans, ne lui paraît pas suffisante.</w:t>
      </w:r>
    </w:p>
    <w:p>
      <w:r>
        <w:rPr>
          <w:b/>
        </w:rPr>
        <w:t>E. 4.1.5</w:t>
      </w:r>
    </w:p>
    <w:p>
      <w:r>
        <w:t>Lorsque l'assassinat est en concours ordinaire avec d'autres infractions ( art. 49 al. 1 CP ), les motifs doivent aussi expliquer comment la peine d'ensemble a été formée. Ils doivent donc permettre d'identifier la peine de base et la peine complémentaire soit, en particulier,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(cf. ATF 132 IV 102 consid. 9.1 p. 105 s.).</w:t>
      </w:r>
    </w:p>
    <w:p>
      <w:r>
        <w:rPr>
          <w:b/>
        </w:rPr>
        <w:t>E. 4.1.6</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 art. 50 CP ). Ensuite, le juge doit déterminer la peine hypothétique qui correspond à cette faute. La peine ainsi fixée peut enfin être modifiée en raison de facteurs liés à l'auteur ( ATF 136 IV 55 consid. 5.5 s. p. 59 s.; arrêt 6B_1092/2009 du 22 juin 2010, consid. 2.2.2).</w:t>
      </w:r>
    </w:p>
    <w:p>
      <w:r>
        <w:rPr>
          <w:b/>
        </w:rPr>
        <w:t>E. 4.2</w:t>
      </w:r>
    </w:p>
    <w:p>
      <w:r>
        <w:t>En l'espèce, la cour cantonale a constaté que les verdicts de culpabilité d'assassinat ( art. 112 CP ), d'interruption de grossesse punissable ( art. 118 al. 2 CP ) et d'atteinte à la paix des morts ( art. 262 CP ), non contestés, devaient être confirmés (arrêt entrepris, ch. 3.2 p. 22 à 24). Elle a ensuite relevé que le concours d'infractions constituait un "facteur aggravant justifiant une augmentation de la peine dans une juste proportion". Aucune circonstance atténuante au sens de l' art. 48 CP n'était réalisée. La responsabilité du recourant était entière tandis que celle de la recourante "n'était que légèrement diminuée, élément atténuant compensé tant par l'application de l' art. 49 CP que par sa condamnation en 2000 du chef de brigandage aggravé". La cour cantonale a mis en avant la manière odieuse dont le crime avait été commis, le mobile, la préméditation et le comportement des recourants après les faits et exposé qu'au vu de l'extrême gravité de leur faute, leur situation personnelle ne saurait expliquer leur comportement ni avoir une influence significative sur la quotité de la peine. Elle a finalement relevé qu'il n'existait pas d'élément justifiant de condamner les recourants, qui avaient agi en qualité de coauteurs, à des peines différentes et refusé de comparer leur affaire à d'autres, au vu des difficultés et aléas liés à un tel exercice. Elle a conclu que les premiers juges avaient fait une application correcte des critères de l' art. 47 CP en condamnant les recourants à la prison à vie (arrêt entrepris, ch. 4.2 p. 28 à 31).</w:t>
      </w:r>
    </w:p>
    <w:p>
      <w:r>
        <w:rPr>
          <w:b/>
        </w:rPr>
        <w:t>E. 4.3</w:t>
      </w:r>
    </w:p>
    <w:p>
      <w:r>
        <w:t>Les circonstances dans lesquelles les infractions ont été commises justifient sans conteste une privation de liberté d'une durée se situant dans la partie supérieure du cadre légal. La lecture de la motivation ne permet cependant pas de comprendre comment les nombreux éléments cités ont été appréciés dans la fixation de la peine des recourants, ni comment les peines d'ensemble ont été formées. On ignore ainsi si l'assassinat a justifié, à lui seul, la peine privative de liberté à vie ou si celle-ci résulte de l'existence du concours d'infractions, hypothèse non admissible (cf. supra consid. 4.1.5). L'arrêt ne contient pas non plus de motif explicitant ce qui justifierait, s'agissant du crime d'assassinat, le prononcé d'une peine privative de liberté non limitée dans le temps, plutôt que d'une peine de durée déterminée d'un maximum de 20 ans. La motivation de l'arrêt entrepris ne répond donc pas aux exigences rappelées ci-dessus. Il doit par conséquent être annulé sur ce point et la cause renvoyée à l'autorité cantonale afin qu'elle rende une nouvelle décision respectant ces exigences.</w:t>
      </w:r>
    </w:p>
    <w:p>
      <w:r>
        <w:t>S'agissant de la recourante dont la responsabilité pénale a été considérée comme faiblement restreinte au moment des faits, sa peine devra être fixée conformément à la méthode rappelée supra ad consid. 4.1.6. La responsabilité restreinte de la recourante devra donc conduire, contrairement aux termes de la loi, à une atténuation non pas de sa peine, mais de sa culpabilité ( ATF 136 IV 55 consid. 5.5 p. 59). Cette atténuation de sa faute pourra toutefois être compensée, par d'autres éléments comme les mauvais antécédents (cf. ATF 127 IV 101 consid. 2b p. 103 s.). Dès lors, même en cas de responsabilité restreinte au sens de l' art. 19 al. 2 CP , une peine privative de liberté à vie ne sera pas forcément exclue si la faute de la recourante, une fois la responsabilité restreinte ainsi que toutes les circonstances pertinentes prises en compte, demeure si grave qu'elle justifie une telle sanction.</w:t>
      </w:r>
    </w:p>
    <w:p>
      <w:r>
        <w:rPr>
          <w:b/>
        </w:rPr>
        <w:t>E. 5</w:t>
      </w:r>
    </w:p>
    <w:p>
      <w:r>
        <w:t>En conclusion, les recours doivent être partiellement admis et l'arrêt attaqué annulé en tant qu'il rejette les appels formés par les recourants contre le jugement du 1er avril 2011 et condamne ces derniers aux frais de la procédure d'appel. L'affaire doit être renvoyée à l'autorité cantonale pour nouvelle décision dans le sens des considérants.</w:t>
      </w:r>
    </w:p>
    <w:p>
      <w:r>
        <w:t>Conformément à l' art. 66 al. 1 et 4 LTF , il n'est pas perçu de frais judiciaires. Les recourants qui obtiennent gain de cause peuvent prétendre à une indemnité de dépens à verser à leur conseil pour la procédure devant le Tribunal fédéral ( art. 68 al. 1 et 2 LTF ), ce qui rend sans objet leur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