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6B_281/2020 vom 25. März 2020</w:t>
      </w:r>
    </w:p>
    <w:p>
      <w:r>
        <w:t>Bundesgericht, 2020-03-25, FR</w:t>
      </w:r>
    </w:p>
    <w:p>
      <w:r>
        <w:rPr>
          <w:b/>
        </w:rPr>
        <w:t xml:space="preserve">Quelle: </w:t>
      </w:r>
      <w:r>
        <w:t>https://mcp.opencaselaw.ch/entscheid/bger_6B_281_2020</w:t>
      </w:r>
    </w:p>
    <w:p>
      <w:r>
        <w:t>FR: TF 6B_281/2020 du 25 mars 2020</w:t>
      </w:r>
    </w:p>
    <w:p>
      <w:r>
        <w:t>IT: TF 6B_281/2020 del 25 marzo 2020</w:t>
      </w:r>
    </w:p>
    <w:p>
      <w:pPr>
        <w:pStyle w:val="Heading2"/>
      </w:pPr>
      <w:r>
        <w:t>Erwägungen</w:t>
      </w:r>
    </w:p>
    <w:p>
      <w:r>
        <w:rPr>
          <w:b/>
        </w:rPr>
        <w:t>E. 1</w:t>
      </w:r>
    </w:p>
    <w:p>
      <w:r>
        <w:t>Par arrêt du 12 novembre 2019, la Chambre pénale de recours de la Cour de justice de la République et canton de Genève a rejeté le recours formé par A.________ à l'encontre de la décision de refus de reprise d'instruction rendue le 6 juin 2019 par le Ministère public genevois.</w:t>
      </w:r>
    </w:p>
    <w:p>
      <w:r>
        <w:t>Par acte du 2 mars 2020, déposé par porteur le lendemain 3 mars 2020, A.________ forme un recours en matière pénale au Tribunal fédéral contre l'arrêt précité.</w:t>
      </w:r>
    </w:p>
    <w:p>
      <w:r>
        <w:rPr>
          <w:b/>
        </w:rPr>
        <w:t>E. 2</w:t>
      </w:r>
    </w:p>
    <w:p>
      <w:r>
        <w:t>En vertu de la règle générale de l' art. 100 al. 1 LTF , le recours doit être déposé devant le Tribunal fédéral dans les trente jours qui suivent la notification de l'expédition complète de la décision attaquée.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p. 230 s. et les références citées; cf. récemment: arrêt 6B_1321/2019 du 15 janvier 2020 consid. 1).</w:t>
      </w:r>
    </w:p>
    <w:p>
      <w:r>
        <w:t>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p. 432 et les arrêts cités). Cette jurisprudence s'applique également lorsque l'envoi est adressé en poste restante (arrêt 6B_1321/2019 précité consid. 1 et les références).</w:t>
      </w:r>
    </w:p>
    <w:p>
      <w:r>
        <w:t>En l'espèce, la recourante soutient n'avoir pris connaissance de l'arrêt attaqué, daté du 12 novembre 2019, qu'en date du 6 février 2020, et fait valoir qu'elle avait informé la cour cantonale de son absence entre les 26 octobre 2019 et 24 janvier 2020, tout en sollicitant la tenue d'une audience. On comprend qu'elle a fait garder son courrier par La Poste jusqu'au 24 janvier 2020. Déposé par porteur le 3 mars 2020, le recours apparaît tardif, la question souffrant toutefois de rester indécise compte tenu de ce qui suit.</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De surcroît, 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Le Tribunal fédéral est par ailleurs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la recourante n'expose nullement en quoi pourraient consister ses éventuelles prétentions civiles. Elle n'a donc pas qualité pour recourir sous l'angle de l'art. 81 al. 1 let. a et b ch. 5 LTF. Il n'apparaît pas non plus que la recourante invoque la violation de son droit de porter plainte sous l'angle de l'art. 81 al. 1 let. a et b ch. 6 LTF, ni la violation d'un droit procédural entièrement séparé du fond, équivalent à un déni de justice formel, susceptible d'établir sa qualité pour recourir (cf. ATF 141 IV 1 consid. 1.1 p. 5). En tout état, elle discute librement les faits de la cause mais ne formule aucun grief topique destiné à établir en quoi l'arrêt attaqué serait susceptible de violer le droit fédéral. Son mémoire est enfin dépourvu de conclusions.</w:t>
      </w:r>
    </w:p>
    <w:p>
      <w:r>
        <w:rPr>
          <w:b/>
        </w:rPr>
        <w:t>E. 4</w:t>
      </w:r>
    </w:p>
    <w:p>
      <w:r>
        <w:t>Au vu de ce qui précède, le recours doit être déclaré irrecevable selon la procédure simplifiée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