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6B_281/2013 vom 16. Juli 2013</w:t>
      </w:r>
    </w:p>
    <w:p>
      <w:r>
        <w:t>Bundesgericht, 2013-07-16, FR</w:t>
      </w:r>
    </w:p>
    <w:p>
      <w:r>
        <w:rPr>
          <w:b/>
        </w:rPr>
        <w:t xml:space="preserve">Quelle: </w:t>
      </w:r>
      <w:r>
        <w:t>https://mcp.opencaselaw.ch/entscheid/bger_6B_281_2013</w:t>
      </w:r>
    </w:p>
    <w:p>
      <w:r>
        <w:t>FR: TF 6B_281/2013 du 16 juillet 2013</w:t>
      </w:r>
    </w:p>
    <w:p>
      <w:r>
        <w:t>IT: TF 6B_281/2013 del 16 luglio 2013</w:t>
      </w:r>
    </w:p>
    <w:p>
      <w:pPr>
        <w:pStyle w:val="Heading2"/>
      </w:pPr>
      <w:r>
        <w:t>Erwägungen</w:t>
      </w:r>
    </w:p>
    <w:p>
      <w:r>
        <w:rPr>
          <w:b/>
        </w:rPr>
        <w:t>E. 1</w:t>
      </w:r>
    </w:p>
    <w:p>
      <w:r>
        <w:t>Le recourant conteste sa condamnation pour tentative de contrainte ( art. 181 CP ).</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w:t>
      </w:r>
    </w:p>
    <w:p>
      <w:r>
        <w:rPr>
          <w:b/>
        </w:rPr>
        <w:t>E. 1.1.1</w:t>
      </w:r>
    </w:p>
    <w:p>
      <w:r>
        <w:t>Alors que la violence consiste dans l'emploi d'une force physique d'une certaine intensité à l'encontre de la victime ( ATF 101 IV 42 consid. 3a),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105 IV 120 consid. 2a).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w:t>
      </w:r>
    </w:p>
    <w:p>
      <w:r>
        <w:t>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137 IV 326 consid. 3.3.1 p. 328; 134 IV 216 consid. 4.2; 119 IV 301 consid. 2a).</w:t>
      </w:r>
    </w:p>
    <w:p>
      <w:r>
        <w:rPr>
          <w:b/>
        </w:rPr>
        <w:t>E. 1.1.2</w:t>
      </w:r>
    </w:p>
    <w:p>
      <w:r>
        <w:t>Selon la jurisprudence, la contrainte n'est contraire au droit que si elle est illicite (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137 IV 326 consid. 3.3.1 p. 328; 134 IV 216 consid. 4.1 p. 218; 120 IV 17 consid. 2a/bb p. 20). Ainsi, menacer d'une plainte pénale pour une infraction que rien ne permet sérieusement de soupçonner est un moyen en soi inadmissible ( ATF 120 IV 17 consid. consid. 2a/bb 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 ATF 120 IV 17 consid. 2a/bb p. 20 et les arrêts cités; au sujet de la contrainte susceptible d'être réalisée par un commandement de payer, cf. arrêt 6S.853/2000 du 9 mai 2001 et 6S.874/1996 du 26 février 1997).</w:t>
      </w:r>
    </w:p>
    <w:p>
      <w:r>
        <w:rPr>
          <w:b/>
        </w:rPr>
        <w:t>E. 1.1.3</w:t>
      </w:r>
    </w:p>
    <w:p>
      <w:r>
        <w:t>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1.1.4</w:t>
      </w:r>
    </w:p>
    <w:p>
      <w:r>
        <w:t>Lorsque la victime ne se laisse pas intimider et n'adopte pas le comportement voulu par l'auteur, ce dernier est punissable de tentative de contrainte ( art. 22 al. 1 CP ; ATF 129 IV 262 ; 106 IV 125 consid. 2b p. 12).</w:t>
      </w:r>
    </w:p>
    <w:p>
      <w:r>
        <w:rPr>
          <w:b/>
        </w:rPr>
        <w:t>E. 1.2</w:t>
      </w:r>
    </w:p>
    <w:p>
      <w:r>
        <w:t>Il est reproché au recourant d'avoir fait notifier à l'intimé un commandement de payer portant sur le montant de 250'000 fr., au titre de " Dommage + intérêts procès D.________Tribunal Cantonal ", dans le but de le dissuader de lui réclamer le solde de ses honoraires. Il est donc manifeste que le recourant n'a pas usé de violence au sens de l' art. 181 CP . On ne se trouve pas non plus en présence d'une menace; en effet, le recourant n'a pas seulement menacé sa victime de lui faire notifier un commandement de payer pour l'inciter, par la perspective des inconvénients qui pourraient en résulter, à s'abstenir de réclamer le solde de ses honoraires, mais l'a effectivement fait notifier. Il reste dès lors à examiner si le recourant a entravé " de quelque autre manière " le destinataire du commandement de payer dans sa liberté d'action.</w:t>
      </w:r>
    </w:p>
    <w:p>
      <w:r>
        <w:t>Le commandement de payer notifié était, en l'espèce, dépourvu de tout fondement. En effet, il est admis qu'un créancier au bénéfice d'un jugement exécutoire peut introduire une nouvelle poursuite fondée sur le même titre de créance, notamment dans l'hypothèse où sa première poursuite a été rejetée pour des motifs formels. En conséquence, si l'avocat s'était opposé à la production tardive de l'attestation bancaire du cours de l'euro, le poursuivant aurait introduit une nouvelle poursuite et la mainlevée définitive aurait été de toute façon prononcée. En outre, le montant figurant sur le commandement de payer était excessif, puisque le jugement de mainlevée condamnait le recourant et sa femme, en tant que débiteur solidaire, à payer un montant de 116'000 fr., et non de 250'000 fr. Or, faire notifier un commandement de payer à une personne lorsqu'on n'est pas fondé à lui réclamer une somme d'argent est sans conteste illicite. Par ce moyen, le recourant voulait dissuader l'intimé de réclamer le solde de ses honoraires. Certes, les réquisitions de poursuite, du 25 octobre 2005, sont antérieures à celle de l'intimé. Le recourant savait toutefois que l'intimé n'avait pas renoncé au recouvrement de ses honoraires, puisque, dans son courrier du 11 octobre 2004, lorsqu'il a accepté à nouveau d'être son conseil, il lui avait déjà réclamé le solde de ses honoraires au pénal et lui avait envoyé par la suite plusieurs rappels.</w:t>
      </w:r>
    </w:p>
    <w:p>
      <w:r>
        <w:t>L'entrave à la liberté que constitue le procédé utilisé est loin d'être légère. Une telle procédure est une source de tourments et de poids psychologique, qui sont de nature à inciter le destinataire à céder à la pression dont il fait l'objet (cf. arrêt 6S.853/2000 du 9 mai 2001 consid. 4 et 6S.874/1996 du 26 février 1997 consid. 2b). En outre, elle était de nature à porter atteinte au crédit professionnel de l'intimé. Contrairement à l'avis du recourant, la possibilité de se défendre par la voie judiciaire contre le dommage dont on est menacé ne supprime pas sans autre le caractère sérieux de celui-ci. En effet, tout procès exige des dépenses, et il arrive au demeurant fréquemment qu'il ait une issue incertaine ( ATF 122 IV 322 consid. 1a p. 325). En l'espèce, l'intimé s'est vu ainsi contraint d'ouvrir une action en constatation de l'inexistence d'une créance.</w:t>
      </w:r>
    </w:p>
    <w:p>
      <w:r>
        <w:t>Le recourant soutient avoir agi de toute bonne foi et avoir réellement cru que l' "erreur " de l'intimé lors de l'audience de mainlevée avait eu une réelle incidence. Il fait notamment valoir qu'il n'était pas juriste et qu'il résidait et travaillait essentiellement en Angleterre, de sorte qu'il ignorait le fonctionnement du droit suisse des poursuites et faillites. Déterminer ce qu'une personne a su, envisagé ou accepté relève de l'établissement des faits ( ATF 135 IV 152 consid. 2.3.2 p. 156), que le Tribunal fédéral ne peut réexaminer que lorsque celui-ci est entaché d'inexactitude manifeste ( art. 97 al. 1 LTF ), à savoir d'arbitraire ( ATF 134 IV 36 consid. 1.4.1 p. 39). En l'espèce, la cour cantonale a considéré que le renouvellement du mandat à l'intimé démontrait que le recourant avait compris qu'il ne pouvait pas faire valoir des prétentions à son encontre en relation avec le moyen de nullité qui aurait pu être tiré de l'absence de production du taux de conversion dans la procédure de mainlevée. En outre, un homme rompu aux affaires comme le recourant ne pouvait ignorer qu'un créancier au bénéfice d'un jugement exécutoire pouvait introduire une nouvelle poursuite fondée sur le même titre de créance, notamment dans l'hypothèse où sa première poursuite a été rejetée pour des motifs formels. Le montant de 250'000 fr. sur lequel portait le commandement de payer était en outre excessif, ce que le recourant savait également. Le raisonnement de la cour cantonale est convaincant. C'est donc sans arbitraire qu'elle a retenu que le recourant a fait notifier un commandement de payer sans fondement, avec conscience et volonté, dans le but de dissuader l'intimé de recouvrer ses honoraires.</w:t>
      </w:r>
    </w:p>
    <w:p>
      <w:r>
        <w:t>L'intimé ne s'est pas laissé intimider, puisqu'il a requis la poursuite du recourant et de son épouse pour le solde de ses honoraires. C'est donc à juste titre que la cour cantonale a retenu la seule tentative de contrainte.</w:t>
      </w:r>
    </w:p>
    <w:p>
      <w:r>
        <w:rPr>
          <w:b/>
        </w:rPr>
        <w:t>E. 2</w:t>
      </w:r>
    </w:p>
    <w:p>
      <w:r>
        <w:t>Condamné pour violation grave des règles de la circulation routière pour ne pas avoir respecté une " distance suffisance " avec le véhicule le précédant, le recourant soutient que son comportement doit être qualifié de violation simple des règles de la circulation routière.</w:t>
      </w:r>
    </w:p>
    <w:p>
      <w:r>
        <w:rPr>
          <w:b/>
        </w:rPr>
        <w:t>E. 2.1</w:t>
      </w:r>
    </w:p>
    <w:p>
      <w:r>
        <w:t>L' art. 34 al. 4 LCR prévoit que le conducteur doit observer une distance suffisante notamment lorsque des véhicules se suivent. Cette disposition est concrétisée à l' art. 12 al. 1 OCR , selon lequel lorsque des véhicules se suivent, le conducteur se tiendra à une distance suffisante du véhicule qui le précède, afin de pouvoir s'arrêter à temps en cas de freinage inattendu.</w:t>
      </w:r>
    </w:p>
    <w:p>
      <w:r>
        <w:t>L' art. 90 al. 1 LCR prévoit que celui qui viole les règles de la circulation prévues par la présente loi ou par les dispositions d'exécution émanant du Conseil fédéral est puni de l'amende. Celui qui, par une violation grave d'une règle de la circulation, crée un sérieux danger pour la sécurité d'autrui ou en prend le risque est puni d'une peine privative de liberté de trois ans au plus ou d'une peine pécuniaire ( art. 90 al. 2 LCR ).</w:t>
      </w:r>
    </w:p>
    <w:p>
      <w:r>
        <w:rPr>
          <w:b/>
        </w:rPr>
        <w:t>E. 2.2</w:t>
      </w:r>
    </w:p>
    <w:p>
      <w:r>
        <w:t>Ce qu'il faut entendre par " distance suffisante " au sens de l' art. 34 al. 4 LCR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développé aucun principe général en ce qui concerne la distance à partir de laquelle une violation simple des règles de la circulation, au sens de l' art. 90 al. 1 LCR , doit être retenue dans tous les cas, même en présence de conditions favorables. Elle a toutefois admis que la règle des deux secondes ou du " demi compteur " (correspondant à un intervalle de 1,8 seconde) étaient des standards minima habituellement reconnus ( ATF 131 IV 133 consid. 3.1 p. 135 104 IV 192 consid. 2b p. 194; cf. aussi PHILIPPE WEISSENBERGER, Kommentar zum Strassenverkehrgesetz, 2011, 2011, n° 53 ad art. 34 LCR ).</w:t>
      </w:r>
    </w:p>
    <w:p>
      <w:r>
        <w:t>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cf. aussi arrêts 1C_356/2009 du 12 février 2010; 1C_7/2010 du 11 mai 2010; 1C_274/210 du 7 octobre 2010). Le Tribunal fédéral a également retenu une violation grave de la circulation en cas de distance supérieure à 0,6 seconde, lorsque les conditions de la route et de visibilité n'étaient pas favorables (arrêt 6B_700/2010 du 16 novembre 2010; cf. aussi WEISSENBERGER, op. cit., n° 54 ad art. 34 LCR ).</w:t>
      </w:r>
    </w:p>
    <w:p>
      <w:r>
        <w:rPr>
          <w:b/>
        </w:rPr>
        <w:t>E. 2.3</w:t>
      </w:r>
    </w:p>
    <w:p>
      <w:r>
        <w:t>Avec sa Porsche, le recourant a suivi le véhicule le précédant à 117 km/heure, sur 711 mètres, à une distance entre 15 et 20 mètres. Il est vrai que si l'on retient une distance de 20 mètres, cela représente une distance temporelle de 0,62 seconde. La jurisprudence n'a toutefois pas posé de règle fixe, selon laquelle la violation des règles de circulation devait être qualifiée de grave seulement si la distance était inférieure à 0,6 seconde. La qualification " grave " ou " simple " de la violation des règles de la circulation ne dépend en effet pas uniquement de la distance, mais de l'ensemble des circonstances. En l'espèce, le trafic était dense. Or, comme le relève le recourant lui-même, la densité du trafic provoque de fréquents ralentissements et oblige régulièrement les conducteurs à freiner. En outre, il y avait des poids lourds qui étaient susceptibles de masquer la perception par le recourant des conditions de circulation plus avant. Dans ces conditions, la cour cantonale n'a pas violé le droit fédéral en condamnant le recourant pour violation grave des règles de la circulation routière.</w:t>
      </w:r>
    </w:p>
    <w:p>
      <w:r>
        <w:rPr>
          <w:b/>
        </w:rPr>
        <w:t>E. 3</w:t>
      </w:r>
    </w:p>
    <w:p>
      <w:r>
        <w:t>Condamné à une peine pécuniaire de 150 jours-amende à 100 fr., le recourant se plaint de la sévérité de cette peine. Il conteste le nombre des jours-amende, ainsi que leur montant.</w:t>
      </w:r>
    </w:p>
    <w:p>
      <w:r>
        <w:rPr>
          <w:b/>
        </w:rPr>
        <w:t>E. 3.1</w:t>
      </w:r>
    </w:p>
    <w:p>
      <w:r>
        <w:t>Pour fixer le nombre de jours-amende, le juge se fonde sur la culpabilité de l'auteur ( art. 34 al. 1 CP ). Pour ce faire, il se référera aux critères posés à l' art. 47 CP . Il prendra en considération les antécédents et la situation personnelle de l'auteur ainsi que l'effet de la peine sur son avenir ( art. 47 al. 1 CP ). Il tiendra compte de la gravité de la lésion ou de la mise en danger du bien juridique concerné, du caractère répréhensible de l'acte, des motivations et des buts de l'auteur et de la mesure dans laquelle celui-ci aurait pu éviter la mise en danger ou la lésion, compte tenu de sa situation personnelle et des circonstances extérieures ( art. 47 al. 2 CP ).</w:t>
      </w:r>
    </w:p>
    <w:p>
      <w:r>
        <w:rPr>
          <w:b/>
        </w:rPr>
        <w:t>E. 3.2.1</w:t>
      </w:r>
    </w:p>
    <w:p>
      <w:r>
        <w:t>La cour cantonale a retenu les antécédents en matière de LCR, à savoir une condamnation pénale réprimant deux infractions graves à la LCR commises en 2003 et 2004. Elle a en outre relevé les explications désinvoltes qu'il a données pour tenter de justifier son comportement (impliquant ses enfants) et sa tentative particulièrement dérisoire à l'égard des policiers bernois de se prévaloir de l'immunité diplomatique. S'agissant de la tentative de contrainte, elle a considéré que son attitude à l'égard de son conseil était empreinte de cynisme et de perfidie. A décharge, elle a observé que le recourant n'avait plus occupé les autorités judiciaires depuis 2006 et que la tentative de contrainte était proche de la prescription.</w:t>
      </w:r>
    </w:p>
    <w:p>
      <w:r>
        <w:rPr>
          <w:b/>
        </w:rPr>
        <w:t>E. 3.2.2</w:t>
      </w:r>
    </w:p>
    <w:p>
      <w:r>
        <w:t>Le recourant reproche à la cour cantonale de ne pas avoir atténué la peine, dès lors que la contrainte n'a été que tentée.</w:t>
      </w:r>
    </w:p>
    <w:p>
      <w:r>
        <w:t>L' art. 22 al. 1 CP prévoit une atténuation de la peine, au sens de l' art. 48a CP . Cette atténuation est facultative. Toutefois, selon la jurisprudence, la peine doit de toute manière être réduite lorsque le résultat de l'infraction ne s'est pas produit. La mesure de cette atténuation dépend notamment de la proximité du résultat ainsi que des conséquences effectives des actes commis. S'il n'y a pas lieu d'atténuer la peine en application de l' art. 48a CP , le juge doit tenir compte de l'absence de résultat dommageable, comme élément à décharge, dans le cadre de l'application de l' art. 47 CP (arrêt 6S.547/2006 du 1er février 2006; ATF 127 IV 101 consid. 2b p. 103; 121 IV 49 consid. 1b p. 54 s.).</w:t>
      </w:r>
    </w:p>
    <w:p>
      <w:r>
        <w:t>En l'espèce, la cour cantonale n'a pas méconnu le fait que l'infraction de contrainte n'était que tentée. Comme le jugement forme un tout, l'on doit admettre qu'au moment de fixer la peine, le juge garde à l'esprit les éléments qui y figurent, de sorte qu'il n'est pas tenu de les mentionner à nouveau, à moins qu'il s'agisse d'un élément décisif. En l'espèce, le recourant a tout fait pour que l'infraction soit consommée, et ce sont les circonstances externes qui ont empêché la réalisation du résultat. Dans ces conditions, seule une atténuation minime de la peine s'impose, et l'on ne saurait reprocher à la cour cantonale de ne pas avoir mentionné expressément cet élément à nouveau au stade de la peine.</w:t>
      </w:r>
    </w:p>
    <w:p>
      <w:r>
        <w:rPr>
          <w:b/>
        </w:rPr>
        <w:t>E. 3.2.3</w:t>
      </w:r>
    </w:p>
    <w:p>
      <w:r>
        <w:t>Le recourant fait grief à la cour cantonale de ne pas avoir retenu que l'infraction en question était à quelques mois près de la prescription de l'action pénale ( art. 48 let . e CP).</w:t>
      </w:r>
    </w:p>
    <w:p>
      <w:r>
        <w:t>Ce grief est infondé. La cour cantonale mentionne expressément à décharge le fait que l'infraction de tentative de contrainte est proche de la prescription.</w:t>
      </w:r>
    </w:p>
    <w:p>
      <w:r>
        <w:rPr>
          <w:b/>
        </w:rPr>
        <w:t>E. 3.2.4</w:t>
      </w:r>
    </w:p>
    <w:p>
      <w:r>
        <w:t>Enfin, le recourant soutient avoir été gravement tenté par le comportement de son conseil et invoque la circonstance atténuante de l' art. 48 let. b CP .</w:t>
      </w:r>
    </w:p>
    <w:p>
      <w:r>
        <w:t>Le recourant méconnaît le sens de cette circonstance atténuante, qui ne s'applique pratiquement qu'en matière d'infraction sexuelle. En effet, la cour de céans ne voit pas en quoi l'intimé aurait induit en tentation grave le recourant, de sorte que celui-ci n'aurait pas pu résister à lui adresser un commandement de payer.</w:t>
      </w:r>
    </w:p>
    <w:p>
      <w:r>
        <w:rPr>
          <w:b/>
        </w:rPr>
        <w:t>E. 3.2.5</w:t>
      </w:r>
    </w:p>
    <w:p>
      <w:r>
        <w:t>En définitive, la cour cantonale n'a pas omis d'élément important lors de la fixation de la peine et a correctement motivé celle-ci. Il convient encore d'examiner si, au vu des circonstances, la peine infligée apparaît sévère au point de constituer un abus du pouvoir d'appréciation.</w:t>
      </w:r>
    </w:p>
    <w:p>
      <w:r>
        <w:t>La culpabilité du recourant est d'une certaine importance. Il ne fait preuve d'aucune considération pour autrui lorsqu'il est au volant de sa voiture. Son attitude à l'égard de son conseil est empreinte de cynisme et de perfidie. A charge, il faut retenir ses antécédents, ainsi que le concours d'infractions. A décharge, on relèvera que le recourant n'a plus occupé les autorités judiciaires depuis 2006, que l'infraction de contrainte n'a été que tentée et qu'elle était proche de la prescription.</w:t>
      </w:r>
    </w:p>
    <w:p>
      <w:r>
        <w:t>Au vu de l'ensemble de ces circonstances, la peine pécuniaire de 150 jours-amende n'est pas sévère, de sorte qu'il faille conclure à un abus du large pouvoir d'appréciation accordé à la cour cantonale.</w:t>
      </w:r>
    </w:p>
    <w:p>
      <w:r>
        <w:rPr>
          <w:b/>
        </w:rPr>
        <w:t>E. 4</w:t>
      </w:r>
    </w:p>
    <w:p>
      <w:r>
        <w:t>Le recourant conteste également le montant du jour-amende, fixé à 150 fr. Il reproche à la cour cantonale de ne pas avoir instruit suffisamment pour obtenir des informations sur son revenu.</w:t>
      </w:r>
    </w:p>
    <w:p>
      <w:r>
        <w:rPr>
          <w:b/>
        </w:rPr>
        <w:t>E. 4.1.1</w:t>
      </w:r>
    </w:p>
    <w:p>
      <w:r>
        <w:t>Selon l' art. 34 al. 2 2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t>Les principes déduits de cette disposition ont été exposés dans l' ATF 134 IV 60 (consid. 6 p. 68 ss) et dans l'arrêt 6B_845/2009 du 11 janvier 2010 (consid.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w:t>
      </w:r>
    </w:p>
    <w:p>
      <w:r>
        <w:rPr>
          <w:b/>
        </w:rPr>
        <w:t>E. 4.1.2</w:t>
      </w:r>
    </w:p>
    <w:p>
      <w:r>
        <w:t>Lorsque l'accusé refuse de fournir au juge les informations relatives à sa situation patrimoniale ou que ceux-ci ne paraissent pas plausibles, l' art. 34 al. 3 CP permet au juge de s'adresser aux administrations pour obtenir des informations complémentaires. Si ces moyens s'avèrent insuffisants ou inefficaces, le juge peut encore recourir aux autres moyens ordinaires d'instruction ( SANDRO CIMICHELLA, Die Geldstrafe im schweizerischen Strafrecht, 2006, p. 130; YVAN JEANNERET, in Commentaire romand, Code pénal I, 2009, n° 42 ad art. 34 CP ). Le train de vie sert de critère auxiliaire dans les cas où, ne pouvant être établis faute de renseignements précis des autorités fiscales et de déclarations probantes de l'intéressé lui-même, les revenus de l'auteur doivent faire l'objet d'une estimation. Le juge peut en effet augmenter le montant du jour-amende lorsque l'auteur mène un train de vie visiblement plus élevé que ce que lui permettraient les revenus, par comparaison assez bas, que l'instruction a permis d'établir ( ATF 134 IV 60 consid.6.3; arrêt 6B_217/2007 du 14.4.2008 consid. 2.1.3).</w:t>
      </w:r>
    </w:p>
    <w:p>
      <w:r>
        <w:rPr>
          <w:b/>
        </w:rPr>
        <w:t>E. 4.2</w:t>
      </w:r>
    </w:p>
    <w:p>
      <w:r>
        <w:t>Dans la mesure où le recourant n'a pas son domicile fiscal en Suisse, mais à Londres, le juge ne pouvait solliciter des renseignements auprès des autorités fiscales suisses. Il aurait pu certes procéder à l'audition de témoins (par exemple d'un représentant de la société E.________ AG ou de l'épouse du recourant). Ces mesures d'investigation auraient été toutefois laborieuses, et ne se justifiaient pas en raison du peu de gravité de l'affaire. Dans la mesure où le recourant n'a pas donné d'informations crédibles et qu'il n'est pas imposé en Suisse, la cour cantonale n'a donc pas violé le droit fédéral en procédant à une correction des revenus allégués sur la base du train de vie.</w:t>
      </w:r>
    </w:p>
    <w:p>
      <w:r>
        <w:t>Le recourant soutient que sa rétribution annuelle brute est de 60'000 à 80'000 fr., dont il convient encore de déduire les charges professionnelles. La cour cantonale a corrigé les revenus allégués compte tenu de son train de vie élevé. En effet, ses revenus effectifs lui permettent notamment de financer la location d'un appartement en plein centre de Londres, d'un bureau à Genève, d'une villa au loyer de 2'500 fr., sans compter l'entretien de sa famille, englobant trois enfants étudiants ou élèves entièrement à sa charge. Au vu de l'ensemble de ces informations, la cour cantonale a fixé le montant du jour-amende à 100 fr. De la sorte, elle a légèrement augmenté le revenu annoncé par le recourant, sans abuser de son pouvoir d'appréciation.</w:t>
      </w:r>
    </w:p>
    <w:p>
      <w:r>
        <w:rPr>
          <w:b/>
        </w:rPr>
        <w:t>E. 5</w:t>
      </w:r>
    </w:p>
    <w:p>
      <w:r>
        <w:t>Le recourant conteste le refus du sursis, total et partiel, à l'exécution de sa peine, ainsi que le refus de l'application de l' art. 42 al. 4 CP . Il fait valoir qu'il n'a plus commis la moindre infraction depuis près de 7 ans.</w:t>
      </w:r>
    </w:p>
    <w:p>
      <w:r>
        <w:rPr>
          <w:b/>
        </w:rPr>
        <w:t>E. 5.1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Le défaut de prise de conscience de la faute peut justifier un pronostic défavorable, car seul celui qui se repent de son acte mérite la confiance que l'on doit pouvoir accorder au condamné bénéficiant du sursis (arrêt 6S.489/2005 consid. 1.3; ATF 82 IV 81 ).</w:t>
      </w:r>
    </w:p>
    <w:p>
      <w:r>
        <w:t>Le juge doit par ailleurs motiver sa décision de manière suffisante (cf. art. 50 CP ); sa motivation doit permettre de vérifier s'il a été tenu compte de tous les éléments pertinents et comment ils ont été appréciés (cf. ATF 134 IV 1 consid. 4.2.1; arrêt 6B_648/2007 du 11 avril 2008 consid. 3.2).</w:t>
      </w:r>
    </w:p>
    <w:p>
      <w:r>
        <w:rPr>
          <w:b/>
        </w:rPr>
        <w:t>E. 5.2</w:t>
      </w:r>
    </w:p>
    <w:p>
      <w:r>
        <w:t>La cour cantonale a émis un pronostic défavorable. Elle l'a fondé, principalement, sur deux éléments, à savoir l'absence de prise de conscience et les antécédents. Elle a relevé, s'agissant de la tentative de contrainte, que le comportement du recourant en cours de procédure avait été accablant, celui-ci faisant preuve de déni et de mauvaise foi. En ce qui concerne l'infraction à la LCR, ses explications captieuses démontraient son absence totale de prise de conscience des risques qu'il faisait courir aux autres usagers de la route. En outre, si l'infraction de contrainte était unique, sans antécédent similaire, ses antécédents pénaux et administratifs en matière de LCR étaient nombreux et n'avaient eu aucun effet sur lui.</w:t>
      </w:r>
    </w:p>
    <w:p>
      <w:r>
        <w:t>Les éléments pris en compte pour refuser le sursis sont pertinents et on n'en discerne pas d'importants qui auraient été omis ou pris en considération à tort. Malgré des précédentes condamnations pénales et administratives, le recourant n'a pas hésité à mettre à nouveau en danger les autres usagers de la route. Son comportement en cours de procédure ne laisse pas présumer une prise de conscience de sa faute. Enfin, son comportement n'est pas aussi exemplaire qu'il le soutient, puisqu'il a fait l'objet d'un retrait de permis de quatre mois en 2009 pour perte de maîtrise en effectuant un dépassement en mars 2008. Dans ces conditions, la cour cantonale ne peut se voir reprocher d'avoir abusé de son pouvoir d'appréciation en posant un pronostic défavorable. Le pronostic défavorable exclut le sursis complet et le sursis partiel ( ATF 134 IV 1 consid. 5.3.1 p. 10). Dans ce cas-là, l'application de l' art. 42 al. 4 CP est également exclue.</w:t>
      </w:r>
    </w:p>
    <w:p>
      <w:r>
        <w:rPr>
          <w:b/>
        </w:rPr>
        <w:t>E. 6</w:t>
      </w:r>
    </w:p>
    <w:p>
      <w:r>
        <w:t>Le recours doit être rejeté.</w:t>
      </w:r>
    </w:p>
    <w:p>
      <w:r>
        <w:t>Comme ses conclusions étaient vouées à l'échec, l'assistance judiciaire ne peut être accordée ( art. 64 al. 1 LTF ). Le recourant devra donc supporter les frais ( art. 66 al. 1 LTF ), dont le montant sera fixé en tenant compte de sa situation défavorable.</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