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6B_27/2013 vom 5. März 2013</w:t>
      </w:r>
    </w:p>
    <w:p>
      <w:r>
        <w:t>Bundesgericht, 2013-03-05, DE</w:t>
      </w:r>
    </w:p>
    <w:p>
      <w:r>
        <w:rPr>
          <w:b/>
        </w:rPr>
        <w:t xml:space="preserve">Quelle: </w:t>
      </w:r>
      <w:r>
        <w:t>https://mcp.opencaselaw.ch/entscheid/bger_6B_27_2013</w:t>
      </w:r>
    </w:p>
    <w:p>
      <w:r>
        <w:t>FR: TF 6B_27/2013 du 5 mars 2013</w:t>
      </w:r>
    </w:p>
    <w:p>
      <w:r>
        <w:t>IT: TF 6B_27/2013 del 5 marzo 2013</w:t>
      </w:r>
    </w:p>
    <w:p>
      <w:pPr>
        <w:pStyle w:val="Heading2"/>
      </w:pPr>
      <w:r>
        <w:t>Erwägungen</w:t>
      </w:r>
    </w:p>
    <w:p>
      <w:r>
        <w:rPr>
          <w:b/>
        </w:rPr>
        <w:t>E. 1.1</w:t>
      </w:r>
    </w:p>
    <w:p>
      <w:r>
        <w:t>Der Beschwerdeführer rügt, mehrere wichtige Zeugen seien aus verschiedenen Gründen unter polizeilichem Druck gestanden und hätten zweifelhafte Aussagen gemacht. A.________ sei zu Unrecht in antizipierter Beweiswürdigung nach der Entlassung aus dem Gefängnis nicht nochmals befragt worden. Die Vorinstanz habe es ausserdem unterlassen, neben den belastenden auch die entlastenden Umstände abzuklären. So seien entlastende Beweise, wie eine Haaranalyse, nicht vorgenommen worden, um seine eigene Drogensucht zu untersuchen. Auch sei nicht geklärt worden, wann er genau im Spital und im Ausland gewesen sei (Beschwerde, S. 5 f.). B.________ habe ihn mit einem anderen "Kügelidealer" verwechselt. Die Vorinstanz relativiere denn auch zu Recht dessen Angaben zur insgesamt verkauften Drogenmenge, begründe aber nicht, weshalb sie dennoch auf seine Angabe abstelle, wonach er täglich Kokain-Fingerlinge bei ihm erworben habe (Beschwerde, S. 10 f.).</w:t>
      </w:r>
    </w:p>
    <w:p>
      <w:r>
        <w:t>Der Beschwerdeführer räumt ein, er habe sich regelmässig in der Bar "C.________" in Luzern aufgehalten. Es sei nicht verwunderlich, wenn er verschiedenen Stammgästen bekannt sei. Er habe dort auch manchmal Kokain verkauft, um sich seinen Eigenbedarf zu finanzieren. Er wehre sich aber gegen den Vorwurf der Gewerbsmässigkeit. Er habe nie einen Gewinn von Fr. 10'000.-- bzw. einen Umsatz von Fr. 100'000.-- erzielt. Es bestünden wesentliche Zweifel, ob die berechnete nachgewiesene Menge tatsächlich zutreffe. Ein im Jahr 2008 publizierter Artikel in der NZZ gehe von einem Grammpreis von Fr. 50.-- aus. Selbst wenn die eingeklagte Drogenmenge zuträfe, hätte er lediglich einen Umsatz von Fr. 20'000.-- und einen Gewinn von Fr. 4'000.-- bis Fr. 5'000.-- erzielen können. Er habe weder aus niederen Motiven noch aus Gewinnsucht Kokain verkauft, sondern weil er am untersten Rand der Gesellschaft gelebt, mit diesen Leuten verkehrt und selbst Drogen konsumiert habe. Deshalb sei er in die Szene hineingerutscht (Beschwerde, S. 7 ff.).</w:t>
      </w:r>
    </w:p>
    <w:p>
      <w:r>
        <w:rPr>
          <w:b/>
        </w:rPr>
        <w:t>E. 1.2</w:t>
      </w:r>
    </w:p>
    <w:p>
      <w:r>
        <w:t>Das Bundesgericht legt seinem Urteil den Sachverhalt zu 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2 BGG ). Offensichtlich unrichtig im Sinne von Art. 97 Abs. 1 BGG ist die Sachverhaltsfeststellung, wenn sie willkürlich ist ( BGE 137 III 226 E. 4.2 mit Hinweisen; zum Begriff der Willkür BGE 138 I 49 E. 7.1; 136 III 552 E. 4.2; je mit Hinweisen). Eine entsprechende Rüge muss klar und substantiiert begründet werden ( Art. 42 Abs. 2 und Art. 106 Abs. 2 BGG ; BGE 137 IV 1 E. 4.2.3 ; 136 I 65 E. 1.3.1; je mit Hinweisen).</w:t>
      </w:r>
    </w:p>
    <w:p>
      <w:r>
        <w:rPr>
          <w:b/>
        </w:rPr>
        <w:t>E. 1.3</w:t>
      </w:r>
    </w:p>
    <w:p>
      <w:r>
        <w:t>Der Beschwerdeführer legt in seiner Sachverhaltsrüge lediglich die eigene Sicht der Dinge dar, ohne sich detailliert mit der sorgfältigen Beweiswürdigung der Vorinstanz, auf die verwiesen werden kann (Urteil, S. 6-19; Art. 109 Abs. 3 BGG ), auseinanderzusetzen ( BGE 138 I 49 E. 7.1). Das reicht nicht, um Willkür darzutun. Auf seine appellatorische Kritik an den vorinstanzlichen Sachverhaltsfeststellungen ist nicht einzutreten.</w:t>
      </w:r>
    </w:p>
    <w:p>
      <w:r>
        <w:rPr>
          <w:b/>
        </w:rPr>
        <w:t>E. 2.1</w:t>
      </w:r>
    </w:p>
    <w:p>
      <w:r>
        <w:t>Der Beschwerdeführer rügt, die Vorinstanz berücksichtige zu Unrecht Art. 19 Ziff. 3 lit. b BetmG nicht, wonach das Gericht die Strafe nach freiem Ermessen mildern kann, wenn der Täter drogensüchtig ist. Sie missachte damit die Grundsätze der "lex mitior". Er habe mehrfach geltend gemacht, selber regelmässig Kokain konsumiert zu haben (Beschwerde, S. 8 f.).</w:t>
      </w:r>
    </w:p>
    <w:p>
      <w:r>
        <w:rPr>
          <w:b/>
        </w:rPr>
        <w:t>E. 2.2</w:t>
      </w:r>
    </w:p>
    <w:p>
      <w:r>
        <w:t>Das Vorbringen des Beschwerdeführers geht an der Sache vorbei. Die Vorinstanz hat willkürfrei festgestellt, dass der Beschwerdeführer nicht drogensüchtig ist, auch wenn er - zumindest in der Vergangenheit - gelegentlich Drogen konsumiert hat. Bei dieser Sachlage findet Art. 19 Ziff. 3 lit. b BetmG von vornherein keine Anwendung, weshalb sich auch die Frage nach der lex mitior nicht stellt.</w:t>
      </w:r>
    </w:p>
    <w:p>
      <w:r>
        <w:rPr>
          <w:b/>
        </w:rPr>
        <w:t>E. 3.1</w:t>
      </w:r>
    </w:p>
    <w:p>
      <w:r>
        <w:t>Der Beschwerdeführer wendet sich gegen die Strafzumessung der Vorinstanz. Aufgrund des Umsatzes, des Gewinns und seines Eigenkonsums hätte nicht auf gewerbsmässigen Drogenhandel geschlossen werden dürfen. Zudem habe er sich am untersten Rand der Händlerkette befunden. Der Beschwerdeführer erachtet eine Strafe von 20 Monaten als angemessen. Wegen seiner HIV-Erkrankung im fortgeschrittenen Stadium und den Bemühungen, den Lebensunterhalt durch Arbeit zu verdienen, sowie der Reue und seinem bald dreijährigen Wohlverhalten sei ihm eine gute Prognose zu stellen. Die Strafe sei daher bedingt, eventualiter teilbedingt auszusprechen (Beschwerde, S. 12 f.).</w:t>
      </w:r>
    </w:p>
    <w:p>
      <w:r>
        <w:rPr>
          <w:b/>
        </w:rPr>
        <w:t>E. 3.2</w:t>
      </w:r>
    </w:p>
    <w:p>
      <w:r>
        <w:t>Gemäss Art. 47 StGB misst der Richter die Strafe nach dem Verschulden des Täters zu. Er beurteilt die Beweggründe, das Vorleben und die persönlichen Verhältnisse des Schuldigen. Es liegt im Ermessen des Sachrichters, in welchem Umfang er die verschiedenen Strafzumessungsfaktoren berücksichtigt. Das Bundesgericht greift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135 IV 130 E. 5.3.1; 134 IV 17 E. 2.1; je mit Hinweisen).</w:t>
      </w:r>
    </w:p>
    <w:p>
      <w:r>
        <w:rPr>
          <w:b/>
        </w:rPr>
        <w:t>E. 3.3</w:t>
      </w:r>
    </w:p>
    <w:p>
      <w:r>
        <w:t>Die Strafzumessung der Vorinstanz ist nicht zu beanstanden. Sie enthält die wesentlichen Tat- und Täterkomponenten sowie die nachvollziehbaren Schlüsse. Auf die appellatorischen Rügen des Beschwerdeführers, weshalb die Strafe zu senken sei, ist nicht einzutreten. An der Sache vorbei geht sein Vorbringen, ihm sei eine bedingte oder teilbedingte Strafe zu gewähren. Da er am 12. Dezember 2007 bereits zu einer unbedingten Freiheitsstrafe von sechs Monaten verurteilt worden ist, ist der Strafaufschub nur zulässig, wenn besonders günstige Umstände vorliegen ( Art. 42 Abs. 2 StGB ). Er legt nicht dar, inwiefern solche Umstände vorliegen. Die Vorinstanz verletzt kein Bundesrecht, indem sie bei ihm eine besonders günstige Prognose verneint.</w:t>
      </w:r>
    </w:p>
    <w:p>
      <w:r>
        <w:rPr>
          <w:b/>
        </w:rPr>
        <w:t>E. 4.1</w:t>
      </w:r>
    </w:p>
    <w:p>
      <w:r>
        <w:t>Der Beschwerdeführer beanstandet die Kostenauflage. Obwohl die Vorinstanz das Strafmass von vier auf drei Jahre reduziert habe und seine Vorbringen teilweise erfolgreich gewesen seien, habe er die erstinstanzlichen Gerichts- und Anwaltskosten vollständig tragen müssen. Zudem habe ihm die Vorinstanz keine Parteientschädigung zugesprochen.</w:t>
      </w:r>
    </w:p>
    <w:p>
      <w:r>
        <w:rPr>
          <w:b/>
        </w:rPr>
        <w:t>E. 4.2</w:t>
      </w:r>
    </w:p>
    <w:p>
      <w:r>
        <w:t>Der Beschwerdeführer beantragte weder im Rahmen seiner Berufungsbegründung noch während der vorinstanzlichen Hauptverhandlung im Falle des Obsiegens eine Änderung der erstinstanzlichen Kostenverteilung. Damit ist der kantonale Instanzenzug nicht erschöpft bzw. der Entscheid nicht letztinstanzlich im Sinne von Art. 80 Abs. 1 BGG . Darauf ist nicht einzutreten. Die Vorinstanz trug ihrerseits dem teilweisen Erfolg des Beschwerdeführers Rechnung und reduzierte die Gerichtsgebühr von Fr. 4'000.-- auf Fr. 3'500.-- (Urteil, S. 25). Er begründet nicht, weshalb sich eine zusätzliche Parteientschädigung rechtfertigen würde. Dies ist auch nicht ersichtlich.</w:t>
      </w:r>
    </w:p>
    <w:p>
      <w:r>
        <w:rPr>
          <w:b/>
        </w:rPr>
        <w:t>E. 5</w:t>
      </w:r>
    </w:p>
    <w:p>
      <w:r>
        <w:t>Die Beschwerde ist abzuweisen, soweit darauf eingetreten werden kann. Bei diesem Verfahrensausgang sind die bundesgerichtlichen Kosten dem Beschwerdeführer aufzuerlegen ( Art. 66 Abs. 1 BGG ). Sein Gesuch um Gewährung der unentgeltlichen Rechtspflege ist abzuweisen, da die Beschwerde von vornherein aussichtslos erschien.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