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279/2020 vom 19. März 2020</w:t>
      </w:r>
    </w:p>
    <w:p>
      <w:r>
        <w:t>Bundesgericht, 2020-03-19, FR</w:t>
      </w:r>
    </w:p>
    <w:p>
      <w:r>
        <w:rPr>
          <w:b/>
        </w:rPr>
        <w:t xml:space="preserve">Quelle: </w:t>
      </w:r>
      <w:r>
        <w:t>https://mcp.opencaselaw.ch/entscheid/bger_6B_279_2020</w:t>
      </w:r>
    </w:p>
    <w:p>
      <w:r>
        <w:t>FR: TF 6B 279/2020 du 19 mars 2020</w:t>
      </w:r>
    </w:p>
    <w:p>
      <w:r>
        <w:t>IT: TF 6B 279/2020 del 19 marzo 2020</w:t>
      </w:r>
    </w:p>
    <w:p>
      <w:pPr>
        <w:pStyle w:val="Heading2"/>
      </w:pPr>
      <w:r>
        <w:t>Regeste</w:t>
      </w:r>
    </w:p>
    <w:p>
      <w:r>
        <w:t>Violation simple des règles de la circulation routière ; recours tardif | Infractions</w:t>
      </w:r>
    </w:p>
    <w:p>
      <w:pPr>
        <w:pStyle w:val="Heading2"/>
      </w:pPr>
      <w:r>
        <w:t>Erwägungen</w:t>
      </w:r>
    </w:p>
    <w:p>
      <w:r>
        <w:rPr>
          <w:b/>
        </w:rPr>
        <w:t>E. 1</w:t>
      </w:r>
    </w:p>
    <w:p>
      <w:r>
        <w:t>Par jugement du 15 janvier 2020, la Cour d'appel pénale du Tribunal cantonal du canton de Vaud a condamné A.________, pour violation simple des règles de la circulation routière, à une amende de 150 francs. Le prénommé forme un recours en matière pénale au Tribunal fédéral contre ce jugement.</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p. 229 ss et les références citées). En l'espèce, selon les indications fournies par La Poste, la décision cantonale a été adressée au recourant par pli recommandé. Un avis de retrait a été délivré le 20 janvier 2020. Le pli n'ayant pas été retiré, il a été retourné à l'expéditeur le 28 janvier 2020. Le délai de garde postal de sept jours a pris fin le 27 janvier 2020, date à laquelle la décision attaquée est réputée avoir été notifiée au recourant. Le délai de recours a couru jusqu'au 26 février 2020. Remis au Tribunal fédéral le 3 mars 2020, le recours est donc tardif. Au vu de ce qui précède, l'irrecevabilité est manifeste. Le recours doit être déclaré irrecevable selon la procédure prévue par l' art. 108 al. 1 let. a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