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6B_278/2013 vom 5. September 2013</w:t>
      </w:r>
    </w:p>
    <w:p>
      <w:r>
        <w:t>Bundesgericht, 2013-09-05, DE</w:t>
      </w:r>
    </w:p>
    <w:p>
      <w:r>
        <w:rPr>
          <w:b/>
        </w:rPr>
        <w:t xml:space="preserve">Quelle: </w:t>
      </w:r>
      <w:r>
        <w:t>https://mcp.opencaselaw.ch/entscheid/bger_6B_278_2013</w:t>
      </w:r>
    </w:p>
    <w:p>
      <w:r>
        <w:t>FR: TF 6B_278/2013 du 5 septembre 2013</w:t>
      </w:r>
    </w:p>
    <w:p>
      <w:r>
        <w:t>IT: TF 6B_278/2013 del 5 settembre 2013</w:t>
      </w:r>
    </w:p>
    <w:p>
      <w:pPr>
        <w:pStyle w:val="Heading2"/>
      </w:pPr>
      <w:r>
        <w:t>Erwägungen</w:t>
      </w:r>
    </w:p>
    <w:p>
      <w:r>
        <w:rPr>
          <w:b/>
        </w:rPr>
        <w:t>E. 1</w:t>
      </w:r>
    </w:p>
    <w:p>
      <w:r>
        <w:t>Die Beschwerdeführer sind gestützt auf Art. 81 Abs. 1 lit. b Ziff. 5 BGG zur Beschwerde legitimiert. Auf ihr frist- und formgerecht eingereichtes Rechtsmittel ist grundsätzlich einzutreten. Es ist jedoch fraglich, ob ihre Beschwerdeschrift den gesetzlichen Begründungsanforderungen (vgl. Art. 42 Abs. 2 und 106 Abs. 2 BGG) genügt. Bei einer Laienbeschwerde kann das insofern angenommen werden, als die Eingabe den Rechtsstandpunkt bzw. die Argumente der Beschwerdeführer hinreichend deutlich werden lässt und diese Argumente sich in sachlicher sowie gebührender Form auf das vorliegende Verfahren beziehen. Da die Beschwerde ohnehin abgewiesen werden muss, kann die Frage mit Blick auf den Verfahrensausgang offenbleiben.</w:t>
      </w:r>
    </w:p>
    <w:p>
      <w:r>
        <w:rPr>
          <w:b/>
        </w:rPr>
        <w:t>E. 2</w:t>
      </w:r>
    </w:p>
    <w:p>
      <w:r>
        <w:t>Die Beschwerdeführer wenden sich im Wesentlichen gegen die Einstellung des Verfahrens in Bezug auf die vor dem 29. August 1997 begangenen Taten zufolge Verjährung. Sie beantragen die Zusprechung ihrer Schadenersatzforderung in der Höhe des von der ersten Instanz festgesetzten Betrages.</w:t>
      </w:r>
    </w:p>
    <w:p>
      <w:r>
        <w:rPr>
          <w:b/>
        </w:rPr>
        <w:t>E. 3</w:t>
      </w:r>
    </w:p>
    <w:p>
      <w:r>
        <w:t>Nach den für das vorliegende Verfahren massgeblichen Bestimmungen verjährt die Strafverfolgung in 15 Jahren (aArt. 70 Abs. 1 lit. b StGB i.V.m. aArt. 146 Abs. 2 StGB). Nach aArt. 71 Abs. 1 lit. a StGB beginnt die Verjährung mit dem Tag, an dem der Täter die strafbare Tätigkeit ausführt. Der Lauf der Verfolgungsverjährung endet mit der Ausfällung des verurteilenden Entscheids ( BGE 121 IV 64 E. 2 S. 65 f.; BGE 92 IV 171 E. b S. 172 f.).</w:t>
      </w:r>
    </w:p>
    <w:p>
      <w:r>
        <w:t>Das angefochtene Urteil ist am 29. August 2012 ergangen. Wie die Vorinstanz zu Recht erkennt, sind somit die vor dem 29. August 1997 ausgeführten gewerbsmässigen Betrugshandlungen verjährt. Das angefochtene Urteil verletzt in diesem Punkt kein Bundesrecht. Dass das äusserst umfangreiche Strafverfahren bei grösserem Personalbestand gegebenenfalls zügiger hätte vorangetrieben werden können, ist in diesem Zusammenhang ohne Bedeutung. Im Übrigen hat die Vorinstanz die Mehrforderung der Beschwerdeführer nicht abgewiesen, sondern auf den Zivilweg verwiesen. Die absolute strafrechtliche Verjährungsfrist ist für den Zivilanspruch nicht massgebend (angefochtenes Urteil S. 183), so dass sie vor Zivilgericht ohne weiteres geltend gemacht werden kann.</w:t>
      </w:r>
    </w:p>
    <w:p>
      <w:r>
        <w:rPr>
          <w:b/>
        </w:rPr>
        <w:t>E. 4</w:t>
      </w:r>
    </w:p>
    <w:p>
      <w:r>
        <w:t>Inwiefern die Eidgenössische Bankenkommission (EBK) ihren Aufsichtspflichten nachgekommen ist, bildet nicht Gegenstand des vorliegenden Verfahrens. Soweit die Beschwerdeführer die Überwachung der B.________ Treuhand GmbH durch die EBK rügen, sind sie nicht zu hören.</w:t>
      </w:r>
    </w:p>
    <w:p>
      <w:r>
        <w:rPr>
          <w:b/>
        </w:rPr>
        <w:t>E. 5</w:t>
      </w:r>
    </w:p>
    <w:p>
      <w:r>
        <w:t>Die Beschwerde ist abzuweisen, soweit darauf eingetreten werden kann. Da sie von vornherein als aussichtslos war, ist das Gesuch um unentgeltliche Rechtspflege abzuweisen. Angesichts der Umstände rechtfertigt es sich,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