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275/2007 vom 2. November 2007</w:t>
      </w:r>
    </w:p>
    <w:p>
      <w:r>
        <w:t>Bundesgericht, 2007-11-02, DE</w:t>
      </w:r>
    </w:p>
    <w:p>
      <w:r>
        <w:rPr>
          <w:b/>
        </w:rPr>
        <w:t xml:space="preserve">Quelle: </w:t>
      </w:r>
      <w:r>
        <w:t>https://mcp.opencaselaw.ch/entscheid/bger_6B_275_2007</w:t>
      </w:r>
    </w:p>
    <w:p>
      <w:r>
        <w:t>FR: TF 6B 275/2007 du 2 novembre 2007</w:t>
      </w:r>
    </w:p>
    <w:p>
      <w:r>
        <w:t>IT: TF 6B 275/2007 del 2 novembre 2007</w:t>
      </w:r>
    </w:p>
    <w:p>
      <w:pPr>
        <w:pStyle w:val="Heading2"/>
      </w:pPr>
      <w:r>
        <w:t>Regeste</w:t>
      </w:r>
    </w:p>
    <w:p>
      <w:r>
        <w:t>Mehrfacher Betrug, versuchter Betrug, Irreführung der Rechtspflege und Widerruf; Strafzumessung | Straftaten</w:t>
      </w:r>
    </w:p>
    <w:p>
      <w:pPr>
        <w:pStyle w:val="Heading2"/>
      </w:pPr>
      <w:r>
        <w:t>Erwägungen</w:t>
      </w:r>
    </w:p>
    <w:p>
      <w:r>
        <w:rPr>
          <w:b/>
        </w:rPr>
        <w:t>E. 1</w:t>
      </w:r>
    </w:p>
    <w:p>
      <w:r>
        <w:t>Die Verurteilung der Beschwerdeführer beruht im Wesentlichen auf einem verkehrsdynamischen Gutachten des wissenschaftlichen Dienstes der Stadtpolizei Zürich vom 23. Mai 2005. Dessen Schlussfolgerung, dass es sich bei dem von den Beschwerdeführern zur Anzeige gebrachten Vorfall vom 23. November 2003 um einen vorgetäuschten "Unfall" handelt und ein (echtes) Unfallgeschehen, wie sie es darstellten, ausgeschlossen werden kann, überzeugten sowohl das Bezirks- wie das Obergericht. Der Beschwerdeführer rügt in seiner Beschwerde 6B_275/2007, das Abstellen auf das Gutachten sei willkürlich und verletze den Grundsatz "in dubio pro reo". Das Obergericht wäre verpflichtet gewesen, den Sachverhalt weiter abzuklären, und es habe sein rechtliches Gehör verletzt, indem es seine Beweisanträge - auf Einholung eines Gutachtens über seine Zurechnungsfähigkeit, eines Plausibilitätsgutachtens in Bezug auf die Verletzungen seiner Frau sowie auf die Befragung einer Augenzeugin - abgewiesen habe. Die Beschwerdeführerin erhebt in ihrer eigenhändig verfassten Beschwerde 6B_276/2007 einen Teil dieser Rügen ebenfalls, wobei sie sie allerdings nur summarisch begründet. Soweit ihre Ausführungen der Begründungspflicht von Art. 42 Abs. 2 BGG (vgl. dazu die Botschaft zur Totalrevision der Bundesrechtspflege vom 28. Februar 2001, BBl 2001 S. 4294) überhaupt genügen, bringt sie jedenfalls nichts Wesentliches vor, was nicht auch in der Beschwerde 6B_275/2007 enthalten wäre.</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Aus der in Art. 32 Abs. 1 BV und Art. 6 Ziff. 2 EMRK verankerten Unschuldsvermutung wird die Rechtsregel "in dubio pro reo" abgeleitet (vgl. dazu BGE 127 I 38 E. 2a S. 41 f.; 124 IV 86 E. 2a S. 88; 120 Ia 31 E. 2c und d S. 36). 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Inwiefern der Grundsatz "in dubio pro reo"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w:t>
      </w:r>
    </w:p>
    <w:p>
      <w:r>
        <w:rPr>
          <w:b/>
        </w:rPr>
        <w:t>E. 2.3</w:t>
      </w:r>
    </w:p>
    <w:p>
      <w:r>
        <w:t>Nach den aus Art. 29 BV fliessenden Verfahrensgarantien sind alle Beweise abzunehmen, die sich auf Tatsachen beziehen, die für die Entscheidung erheblich sind ( BGE 117 Ia 262 E. 4b; 106 Ia 161 E. 2b; 101 Ia 169 E. 1).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130 II 351 E. 3.3.3; 122 V 157 E. 1d; 119 Ib 492 E. 5b/bb).</w:t>
      </w:r>
    </w:p>
    <w:p>
      <w:r>
        <w:rPr>
          <w:b/>
        </w:rPr>
        <w:t>E. 3</w:t>
      </w:r>
    </w:p>
    <w:p>
      <w:r>
        <w:t>In tatsächlicher Hinsicht - das umstrittene Gutachten betrifft einzig Sachverhaltsfragen - geht das Bundesgericht vom Sachverhalt aus, wie ihn die Vorinstanz festgestellt hat, es sei denn, dieser erweise sich als offensichtlich unrichtig oder beruhe auf einer Verletzung von Bundesrecht ( Art. 105 Abs. 1 und Abs. 2 BGG ). "Offensichtlich unrichtig" bedeutet dabei "willkürlich" (Botschaft vom 28. Februar 2001 zur Totalrevision der Bundesrechtspflege, BBl 2001 4338). Will der Beschwerdeführer eine tatsächliche Feststellung der Vorinstanz angreifen, muss er nachweisen, dass diese offensichtlich unrichtig ist oder auf einer Rechtsverletzung beruht und die Behebung des Mangels geeignet ist, den Ausgang des Verfahrens zu beeinflussen ( Art. 97 Abs. 1 BGG ).</w:t>
      </w:r>
    </w:p>
    <w:p>
      <w:r>
        <w:rPr>
          <w:b/>
        </w:rPr>
        <w:t>E. 3.1</w:t>
      </w:r>
    </w:p>
    <w:p>
      <w:r>
        <w:t>Die Ergebnisse des Gutachtens beruhen auf Sachbeweisen und sind nach der Überzeugung des Obergerichts (angefochtener Entscheid S. 10 f.) logisch, nachvollziehbar und schlüssig. Danach kann ausgeschlossen werden, dass sich ein Unfall, wie ihn die Beschwerdeführer darlegten - sie seien mit ihrem Personenwagen von der Bienenstrasse nach rechts in die Norastrasse eingebogen, worauf sie von einem auf der Norastrasse herannahenden, vortrittsbelasteten Lieferwagen von hinten angefahren worden seien - ereignet hat. Hingegen lasse sich das Spurenbild sehr gut mit einer absichtlich herbeigeführten Kollision der beiden Fahrzeuge erklären. Die Einschätzung des Gutachtens durch das Obergericht ist zutreffend, der Beschwerdeführer bringt nichts vor, was es erschüttern und ein Abstellen darauf als unhaltbar erscheinen lassen könnte. Es trifft zwar durchaus zu, dass die Gutachter die Unfallfahrzeuge nicht selber besichtigten, sondern ihre Untersuchung auf die Schadenfotos stützten. Es gibt indessen keinen Grund zur Annahme, dass sie den Beweiswert der Fotos falsch eingeschätzt und sie fehlerhaft ausgewertet haben könnten. Unbedenklich ist ebenfalls, dass Schadenfotos des Schadenexperten einer Geschädigten verwendet wurden. Der Beschwerdeführer behauptet nicht, und es bestehen auch keine Anhaltspunkte dafür, dass diese in irgend einer Weise manipuliert sind und nicht die effektiven Kollisionsschäden zeigen. Als weiteren Beweis für die "Ungenauigkeit" des Gutachtens führt der Beschwerdeführer die Feststellung der Experten an, das Hinterrad resp. die Hinterachse des von der Beschwerdeführerin gefahrenen Personenwagens sei bei der Kollision nicht tangiert worden (Gutachten 5.2.2 S. 9). Dies widerspreche der Feststellung des Zeugen C.________, Fahrzeugexperte der B.________ Versicherung, wonach das linke Hinterrad schräg im Radkasten gestanden sei. C.________ stellte bei seiner Besichtigung des Unfallfahrzeugs zwar tatsächlich einen Schaden an der Radachse hinten links fest. Er bezweifelte indessen, dass dieser und die Kollisionsschäden an der Karosserie durch das gleiche Ereignis verursacht wurden, da sie für ihn kein plausibles Schadenbild abgaben. Die Beschwerdeführer hätten seine Zweifel mit der Erklärung zerstreut, ihr Wagen sei vom Lieferwagen derart gerammt worden, dass er weggeschleudert bzw. gedreht und das Hinterrad gegen einen Bordstein bzw. ein Hindernis gedrückt worden sei. Diese Erklärung ist indessen nicht nachvollziehbar. Einmal sind auf der Schadenfoto, auf welchem das linke Hinterrad zu gut zwei Dritteln abgebildet ist, weder am Rad selber noch auf der dieses umgebenden Karrosserie irgendwelche Druck- oder Kratzspuren erkennbar. Vor allem aber befanden sich während des ganzen Unfallgeschehens, wie es die Beschwerdeführer schilderten, allfällige Bordsteine oder Trottoirbegrenzungen rechts von ihrem Fahrzeug, sodass eine Kollision des linken Hinterrads mit ihnen nicht stattgefunden haben kann. Da zudem nach dem Gutachten feststeht, dass der Aufprall des Lieferwagens auf den Personenwagen der Beschwerdeführer diesen nicht oder nur in vernachlässigbarer Weise drehte, konnte das Obergericht willkürfrei davon ausgehen, dass ein allfälliger Schaden an der Radachse hinten links nicht vom strittigen Unfallereignis herrührte. Damit ist er nicht geeignet, die Ergebnisse des Gutachtens, welches davon ausgeht, dass die Hinterachse bei der Kollision nicht tangiert wurde, in Frage zu stellen.</w:t>
      </w:r>
    </w:p>
    <w:p>
      <w:r>
        <w:rPr>
          <w:b/>
        </w:rPr>
        <w:t>E. 3.2</w:t>
      </w:r>
    </w:p>
    <w:p>
      <w:r>
        <w:t>Gestützt auf das Gutachten konnte somit das Obergericht ohne Verfassungsverletzung davon ausgehen, dass der von den Beschwerdeführern gemeldete Unfall nicht stattgefunden hat, sondern dass sie - zum Zwecke des Versicherungsbetrugs - einen Unfall vortäuschten. Unter diesen Umständen konnte es auch ohne Gehörsverletzung die Beweisanträge des Beschwerdeführers ablehnen, da diese nicht geeignet waren, die durch das Gutachten gewonnene richterliche Überzeugung zu erschüttern: Selbst wenn die Beschwerdeführerin ein Schleudertrauma haben sollte, so wäre damit keineswegs bewiesen, dass der von ihr angezeigte Unfall tatsächlich stattgefunden hat. Sie könnte sich dieses beispielsweise - was in Bezug auf die versicherungstechnische Behandlung des Falles weitreichende Auswirkungen hätte - auch beim absichtlichen Arrangieren des "Unfalls" oder einer anderen Gelegenheit zugezogen haben. Auch in Bezug auf die angebliche Zeugin konnte das Obergericht auf weitere Abklärungen verzichten. Es ist zum einen unwahrscheinlich, dass eine solche Augenzeugin überhaupt existiert, hat doch die fünf Minuten nach der Alarmierung am Unfallort eingetroffene Polizeipatrouille keine Unfallzeugen vorgefunden, und nach dem Polizeirapport haben die Beschwerdeführer auch nicht erwähnt, dass es eine Unfallzeugin gäbe, obwohl sie als schuldlose Unfallopfer ein erhebliches Interesse an einer Bestätigung ihrer Darstellung und allfälligen Angaben zum geflohenen Lieferwagenfahrer durch eine unabhängige Dritte gehabt hätten. Es war der Beschwerdeführer, der in der polizeilichen Befragung vom 16. März 2005 diese Zeugin erstmals erwähnte, währenddem sich die Beschwerdeführerin, als sie am 4. April 2005 polizeilich befragt wurde, nicht an die Zeugin erinnern konnte. Zum anderen ist die Einschätzung des Obergerichts plausibel, von einer solchen Zeugenaussage wäre Jahre nach dem Ereignis ohnehin keine weitere Klärung zu erwarten. Es konnte somit den Beweisantrag auf Befragung dieser (möglicherweise nicht existierenden) Zeugin in willkürfreier antizipierter Beweiswürdigung mangels Erheblichkeit ablehnen. Die Gehörsverweigerungsrüge ist damit unbegründet.</w:t>
      </w:r>
    </w:p>
    <w:p>
      <w:r>
        <w:rPr>
          <w:b/>
        </w:rPr>
        <w:t>E. 4</w:t>
      </w:r>
    </w:p>
    <w:p>
      <w:r>
        <w:t>Der Beschwerdeführer wirft dem Obergericht eine unrichtige Anwendung von Art. 42 StGB vor, indem es ihm den bedingten Strafvollzug nur teilweise gewährt habe. Am 1. Januar 2007 ist die Revision des Allgemeinen Teils des Strafgesetzbuches in Kraft getreten. Sie brachte eine grundlegende Neuordnung des Sanktionensystems (Botschaft des Bundesrates zur Änderung des Schweizerischen Strafgesetzbuches vom 21. September 1998; BBl 1999 II S. 1984). Zentrales Anliegen der Revision war das Zurückdrängen der kurzen Freiheitsstrafe, die Einführung alternativer Sanktionen wie der Geldstrafe oder der gemeinnützigen Arbeit als eigenständige Sanktionsform sowie die Ausdehnung des bedingten Strafvollzuges (bundesrätliche Botschaft, S. 2017 ff., 2024 ff., 2032 ff., 2048 ff.). Daneben wurde die sog. teilbedingte Strafe als Mittellösung zwischen dem vollständigen Aufschub der Strafe und deren Vollzug eingeführt.</w:t>
      </w:r>
    </w:p>
    <w:p>
      <w:r>
        <w:rPr>
          <w:b/>
        </w:rPr>
        <w:t>E. 5.1</w:t>
      </w:r>
    </w:p>
    <w:p>
      <w:r>
        <w:t>Art. 42 StGB ("bedingte Strafen") regelt die Gewährung des bedingten Strafvollzuges wie folgt: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2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3 Die Gewährung des bedingten Strafvollzuges kann auch verweigert werden, wenn der Täter eine zumutbare Schadenbehebung unterlassen hat. 4 Eine bedingte Strafe kann mit einer unbedingten Geldstrafe oder mit einer Busse nach Artikel 106 verbunden werden.</w:t>
      </w:r>
    </w:p>
    <w:p>
      <w:r>
        <w:rPr>
          <w:b/>
        </w:rPr>
        <w:t>E. 5.2</w:t>
      </w:r>
    </w:p>
    <w:p>
      <w:r>
        <w:t>In subjektiver Hinsicht hat das Gericht für die Gewährung des bedingten Strafvollzuges wie bisher eine Prognose über das zukünftige Verhalten des Täters zu stellen.</w:t>
      </w:r>
    </w:p>
    <w:p>
      <w:r>
        <w:rPr>
          <w:b/>
        </w:rPr>
        <w:t>E. 5.2.1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rPr>
          <w:b/>
        </w:rPr>
        <w:t>E. 5.2.2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 Art. 41 Ziff. 1 StGB a. F.).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 Nach Art. 42 Abs. 1 StGB hat das Gericht neu den Vollzug der Strafe in der Regel aufzuschieben, "wenn eine unbedingte Strafe nicht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S. 2049; Günter Stratenwerth, Schweizerisches Strafrecht, Allgemeiner Teil II, 2. Aufl., Bern 2006, § 5 Rz. 38 S. 139).</w:t>
      </w:r>
    </w:p>
    <w:p>
      <w:r>
        <w:rPr>
          <w:b/>
        </w:rPr>
        <w:t>E. 5.2.3</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S. 2050).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(Stratenwerth,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werden (ähnlich: Greiner, a.a.O., S. 101). Das trifft etwa zu, wenn die neuerliche Straftat mit der früheren Verurteilung in keinerlei Zusammenhang steht, oder bei einer besonders positiven Veränderung in den Lebensumständen des Täters (Botschaft, S. 2050; Greiner, a.a.O., S. 101; Stratenwerth, a.a.O., § 5 Rz. 42 S. 141). Jedenfalls ist bei eindeutig günstiger Prognose der Strafaufschub stets zu gewähren (vgl. Stratenwerth, a.a.O., § 5 Rz. 42 S. 141). Die Vorschrift von Art. 42 Abs. 2 StGB stellt klar, dass der Rückfall für sich genommen den bedingten Strafvollzug nicht auszuschliessen vermag, im Gegensatz zum früheren Recht ( Art. 41 Ziff. 1 Abs. 2 StGB a.F.).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rPr>
          <w:b/>
        </w:rPr>
        <w:t>E. 5.2.4</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5.3</w:t>
      </w:r>
    </w:p>
    <w:p>
      <w:r>
        <w:t>In objektiver Hinsicht setzt der Aufschub einer Freiheitsstrafe einzig eine Untergrenze (mindestens sechs Monate) und eine Obergrenze (höchstens zwei Jahre) voraus, womit die Zulässigkeitsschranke des bedingten Strafvollzuges von bisher 18 Monaten angehoben wurde.</w:t>
      </w:r>
    </w:p>
    <w:p>
      <w:r>
        <w:rPr>
          <w:b/>
        </w:rPr>
        <w:t>E. 5.4</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S. 2048, 2052).</w:t>
      </w:r>
    </w:p>
    <w:p>
      <w:r>
        <w:rPr>
          <w:b/>
        </w:rPr>
        <w:t>E. 5.5.1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BBl 2005 S. 4689, 4695, 4699 ff.). Insoweit, also im Bereich der leichten Kriminalität, übernimmt sie auch Aufgaben der Generalprävention.</w:t>
      </w:r>
    </w:p>
    <w:p>
      <w:r>
        <w:rPr>
          <w:b/>
        </w:rPr>
        <w:t>E. 5.5.2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w:t>
      </w:r>
    </w:p>
    <w:p>
      <w:r>
        <w:rPr>
          <w:b/>
        </w:rPr>
        <w:t>E. 6.1</w:t>
      </w:r>
    </w:p>
    <w:p>
      <w:r>
        <w:t>Mit Art. 43 StGB (dt. "teilbedingte Strafen"; frz. "sursis partiel à l'exécution de la peine; ital. "pene con condizionale parziale") wird für die schweizerische Rechtsordnung ein bislang unbekanntes Institut eingeführt. Die Bestimmung hat folgenden Wortlaut: 1 Das Gericht kann den Vollzug einer Geldstrafe, von gemeinnütziger Arbeit oder einer Freiheitsstrafe von mindestens einem Jahr und höchstens drei Jahren nur teilweise aufschieben, wenn dies notwendig ist, um dem Verschulden des Täters genügend Rechnung zu tragen. 2 Der unbedingt vollziehbare Teil darf die Hälfte der Strafe nicht übersteigen. 3 Bei der teilbedingten Freiheitsstrafe muss sowohl der aufgeschobene wie auch der zu vollziehende Teil mindestens sechs Monate betragen. Die Bestimmungen über die Gewährung der bedingten Entlassung (Art. 86) sind auf den unbedingt zu vollziehenden Teil nicht anwendbar.</w:t>
      </w:r>
    </w:p>
    <w:p>
      <w:r>
        <w:rPr>
          <w:b/>
        </w:rPr>
        <w:t>E. 6.2</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Monaten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S. 2052 f.). 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NR Cina, Leuthard und de Dardel, AB 2001 N 561 f.; zum Zusammenhang: Karl-Ludwig Kunz, Zur Neugestaltung der Sanktionen des Schweizerischen Erwachsenenstrafrechtes, ZStrR 117/1999 S. 248; André Kuhn, Le sursis et le sursis partiel selon le nouveau Code pénal, ZStrR 121/2003 S. 273). 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S. 2309). Im Auftrag der Rechtskommission des Ständerates erarbeitete die Verwaltung in der Folge einen Vorschlag zum sursis partiel,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hrsg. von Brigitte Tag/Max Hauri, Zürich 2006, S. 90 f.).</w:t>
      </w:r>
    </w:p>
    <w:p>
      <w:r>
        <w:rPr>
          <w:b/>
        </w:rPr>
        <w:t>E. 6.3.1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 Jositsch, Strafrecht II, 8. Aufl., Zürich 2007, S. 130 ff.; a.M. Kuhn, a.a.O., ZStrR 121/2003 S. 273 und Anm. 36).</w:t>
      </w:r>
    </w:p>
    <w:p>
      <w:r>
        <w:rPr>
          <w:b/>
        </w:rPr>
        <w:t>E. 6.3.2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6.3.3</w:t>
      </w:r>
    </w:p>
    <w:p>
      <w:r>
        <w:t>Die Voraussetzung, dass eine teilbedingte Strafe nach Art. 43 StGB notwendig ist, um dem Verschulden des Täters genügend Rechnung zu tragen, d.h. in angemessener Weise (so der französische Wortlaut: de façon appropriée),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 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6.4</w:t>
      </w:r>
    </w:p>
    <w:p>
      <w:r>
        <w:t>Zu klären ist, ob für Freiheitsstrafen bis zwei Jahre (im überschneidenden Anwendungsbereich von Art. 42/43 StGB) eine ähnliche Verknüpfung im Hinblick auf anerkannte Strafzwecke zu erfolgen hat.</w:t>
      </w:r>
    </w:p>
    <w:p>
      <w:r>
        <w:rPr>
          <w:b/>
        </w:rPr>
        <w:t>E. 6.4.1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(E. 2;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andere Kriterium stärker hervortritt ( BGE 124 IV 246 E. 2b S. 248; 120 IV 1 E. 2b S. 4, je mit Hinweisen).</w:t>
      </w:r>
    </w:p>
    <w:p>
      <w:r>
        <w:rPr>
          <w:b/>
        </w:rPr>
        <w:t>E. 6.4.2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leisten (zum Ganzen Markus Hans Knüsel, Die teilbedingte Freiheitsstrafe, Diss. Bern 1995, S. 92, 124, 175 ff. und passim).</w:t>
      </w:r>
    </w:p>
    <w:p>
      <w:r>
        <w:rPr>
          <w:b/>
        </w:rPr>
        <w:t>E. 6.4.3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Rz. 50 S. 144; vgl. aber Ders., Die Wahl der Sanktionen, insbesondere nach revidiertem AT StGB, in: Strafjustiz und Rechtsstaat, hrsg. von Marcel Alexander Niggli/Nicolas Queloz,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 dürfte. Der Strafzweck des Schuldausgleichs (das Vergeltungsprinzip) besagt denn auch nur, dass die Strafe der Grösse der Schuld entsprechen soll, was eine drastische Bestrafung des Täters bei geringem Verschulden verbietet (Claus Roxin, Strafrecht, Allgemeiner Teil, Band I, 4. Aufl., München 2006, § 3 Rz. 2 ff., insbes.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 Ebenso wenig kann massgebend sein, ob die teilweise Vollstreckung der Strafe unter generalpräventiven Gesichtspunkten als geboten erscheint, um andere von der Begehung von Verbrechen oder Vergehen abzuhalten. Eine solche Vorbehaltsklausel, wie sie das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rPr>
          <w:b/>
        </w:rPr>
        <w:t>E. 6.5</w:t>
      </w:r>
    </w:p>
    <w:p>
      <w:r>
        <w:t>Nach den dargelegten Grundsätzen ist der Anwendungsbereich der teilbedingten Freiheitsstrafen im Sinne von Art. 43 StGB zu konkretisieren.</w:t>
      </w:r>
    </w:p>
    <w:p>
      <w:r>
        <w:rPr>
          <w:b/>
        </w:rPr>
        <w:t>E. 6.5.1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(E. 2.2).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hrsg. von Brigitte Tag/Max Hauri, Zürich 2006, S. 131).</w:t>
      </w:r>
    </w:p>
    <w:p>
      <w:r>
        <w:rPr>
          <w:b/>
        </w:rPr>
        <w:t>E. 6.5.2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hrsg. von Frank Höpfel/Eckart Ratz, 2. Aufl., Wien 2003, N. 11 zu § 43a Abs. 3). Damit verhält es sich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6.6</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7.1</w:t>
      </w:r>
    </w:p>
    <w:p>
      <w:r>
        <w:t>Das Obergericht hat in Bezug auf den Beschwerdeführer erwogen (angefochtenes Urteil S. 32 f.), der bedingte oder teilbedingte Strafvollzug sei nach Art. 42 Abs. 1 StGB grundsätzlich möglich. Er weise indessen mehrere, teilweise einschneidende Vorstrafen auf. Die hier zu beurteilende Straftat habe er nur gut sechs Monate nach seiner letzten Verurteilung und während laufender Probezeit begangen. Trotz Wohlverhaltens seit den eingeklagten Taten bestünden daher erhebliche Zweifel daran, dass der Beschwerdeführer durch die erlittene Untersuchungshaft, das vorliegende Strafverfahren und die heute auszusprechende Strafe genügend beeindruckt werde, um von weiteren Delikten abzusehen, zumal er weder arbeitsmässig noch gesellschaftlich integriert zu sein scheine. Es könne ihm eine günstige Prognose daher nur unter Berücksichtigung der Warnwirkung eines unbedingt zu vollziehenden Teils der Strafe gestellt werden, weshalb es sich rechtfertige, die Strafe im Umfang von sechs Monaten und 19 Tagen zu vollziehen, wobei ihm insgesamt 84 Tage erstandener Haft anzurechnen seien.</w:t>
      </w:r>
    </w:p>
    <w:p>
      <w:r>
        <w:rPr>
          <w:b/>
        </w:rPr>
        <w:t>E. 7.2</w:t>
      </w:r>
    </w:p>
    <w:p>
      <w:r>
        <w:t>Mit dieser Begründung hat das Obergericht die nach der bundesgerichtlichen Rechtsprechung erforderliche Gesamtwürdigung aller rechtserheblichen Umstände vorgenommen. Seine Einschätzung, er sei gesellschaftlich und arbeitsmässig schlecht integriert, ist nicht zu beanstanden, da er offenbar über seine Familie hinaus keine näheren gesellschaftlichen Kontakte pflegt und auch keiner Arbeit nachgeht. Dass dies auf eine unfallbedingte Arbeitsunfähigkeit zurückzuführen ist, ändert nichts an seiner mangelnden Integration, was nach der unbestrittenen Auffassung des Obergerichts die Prognose belasten kann. Dass der Beschwerdeführer mehrere Vorstrafen aufweist und während der Probezeit der letzten delinquierte, ist ein Hinweis dafür, dass er sich von Verurteilungen zu bedingten Strafen wenig beeindrucken lässt, auch wenn die Vorstrafen teilweise länger (die mit Abstand schwerwiegendste Verurteilung wegen bandenmässigen Diebstahls zu einer bedingten Gefängnisstrafe von 9 Monaten datiert vom 4. März 1993) zurückliegen. Mit seiner Auffassung, ein Teilvollzug der ausgesprochenen Strafe sei sowohl geeignet, die Bewährungsaussichten erheblich zu erhöhen, als auch erforderlich, den Beschwerdeführer vor weiteren Straftaten abzuhalten, hat das Obergericht jedenfalls seinen Ermessensspielraum nicht überschritten. Angesichts der desolaten finanziellen Situation des Beschwerdeführers - die sich schon aus seinem Gesuch um unentgeltliche Rechtspflege ergibt - erscheint eine Verbindungsgeldstrafe (oben E. 6.5 in fine) jedenfalls von vornherein nicht geeignet, den Beschwerdeführer vor weiterer Delinquenz abzuhalten und ist damit ungenügend. Die Rüge, das Obergericht habe Art. 42 Abs. 1 StGB falsch angewendet, ist unbegründet.</w:t>
      </w:r>
    </w:p>
    <w:p>
      <w:r>
        <w:rPr>
          <w:b/>
        </w:rPr>
        <w:t>E. 7.3</w:t>
      </w:r>
    </w:p>
    <w:p>
      <w:r>
        <w:t>Der Beschwerdeführer macht geltend, der Kreisarzt habe in seinem Bericht vom 9. April 2004 ausgeprägte psychische Beeinträchtigung mit Anpassungsstörung und gemischter Störung von Gefühlen, zurückgehend auf Misshandlungen in einem serbischen Gefängnis und insbesondere einem Unfall vom 10. Mai 2000, diagnostiziert. Sein angeschlagener Gesundheitszustand sei vom Bezirksgericht leicht strafmindernd berücksichtigt worden. Das Obergericht habe sich bei der Beurteilung der Frage des bedingten Strafvollzugs nicht mit seinem Verschulden auseinandergesetzt und es abgelehnt, gestützt auf Art. 19 und 20 StGB eine Gutachten über seine Zurechnungsfähigkeit einzuholen. Alle diese Umstände sprächen dagegen, ihm ein grosses, der Gewährung des bedingten Strafvollzugs entgegenstehendes Verschulden anzulasten. Das Obergericht hat im angefochtenen Entscheid (S. 20) nachvollziehbar erläutert, weshalb es trotz der unbestrittenen gesundheitlichen Probleme des Beschwerdeführers keinen ernsthaften Anlass sah, an dessen Zurechnungsfähigkeit zu zweifeln, und daher ein Gutachten über seine Zurechnungsfähigkeit ablehnte. Der Beschwerdeführer setzt sich mit diesen Ausführungen nicht auseinander und genügt damit den Anforderungen nicht, die Art. 42 Abs. 2 BGG an die Begründung einer Rüge stellt. Auf die Rüge, das Obergericht habe Art. 20 StGB verletzt, indem es kein solches Gutachten einholte, ist daher nicht einzutreten. Das Obergericht hat im Übrigen die schwierige gesundheitliche Situation des Beschwerdeführers keineswegs verkannt und ihr bei der Beurteilung des Verschuldens auch Rechnung getragen (S. 29 oben). Den Strafaufschub hat es aus den in E. 7.2 erwähnten, haltbaren Gründen nur teilweise gewährt. Die Rüge, es habe mit der teilweisen Verweigerung des bedingten Vollzugs Bundesrecht verletzt, ist unbegründet.</w:t>
      </w:r>
    </w:p>
    <w:p>
      <w:r>
        <w:rPr>
          <w:b/>
        </w:rPr>
        <w:t>E. 7.4</w:t>
      </w:r>
    </w:p>
    <w:p>
      <w:r>
        <w:t>Unzutreffend ist der Einwand, das alte Recht wäre in Bezug auf die Gewährung des bedingten Strafvollzugs das mildere gewesen, weshalb es hätte zu Anwendung gelangen müssen. Wie oben in E. 7.2 dargelegt, ist der Schluss des Obergerichts, künftiges Wohlverhalten des Beschwerdeführers sei ohne Vollzug wenigstens eines Teils der ausgesprochenen Strafe nicht zu erwarten, nicht zu beanstanden. Unter dieser Voraussetzung hätte es ihm nach altem Recht den Strafaufschub verweigern und die ganze Strafe unbedingt ausfällen müssen. Das neue Recht mit der Möglichkeit des teilweisen Strafaufschubs ist daher für den Beschwerdeführer das günstigere und wurde vom Obergericht zu Recht angewandt.</w:t>
      </w:r>
    </w:p>
    <w:p>
      <w:r>
        <w:rPr>
          <w:b/>
        </w:rPr>
        <w:t>E. 8</w:t>
      </w:r>
    </w:p>
    <w:p>
      <w:r>
        <w:t>Die Beschwerden sind somit abzuweisen, soweit darauf einzutreten ist. Mit dem Entscheid in der Sache wird das Gesuch um aufschiebende Wirkung in Bezug auf die Zivilansprüche gegenstandslos. Die Gesuche um unentgeltliche Rechtspflege bzw. um unentgeltliche Rechtspflege und Verbeiständung sind abzuweisen, da die Beschwerden aussichtslos waren ( Art. 64 Abs. 1 und 2 BGG ). Damit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