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6B_274/2022 vom 2. März 2022</w:t>
      </w:r>
    </w:p>
    <w:p>
      <w:r>
        <w:t>Bundesgericht, 2022-03-02, FR</w:t>
      </w:r>
    </w:p>
    <w:p>
      <w:r>
        <w:rPr>
          <w:b/>
        </w:rPr>
        <w:t xml:space="preserve">Quelle: </w:t>
      </w:r>
      <w:r>
        <w:t>https://mcp.opencaselaw.ch/entscheid/bger_6B_274_2022</w:t>
      </w:r>
    </w:p>
    <w:p>
      <w:r>
        <w:t>FR: TF 6B_274/2022 du 2 mars 2022</w:t>
      </w:r>
    </w:p>
    <w:p>
      <w:r>
        <w:t>IT: TF 6B_274/2022 del 2 marzo 2022</w:t>
      </w:r>
    </w:p>
    <w:p>
      <w:pPr>
        <w:pStyle w:val="Heading2"/>
      </w:pPr>
      <w:r>
        <w:t>Erwägungen</w:t>
      </w:r>
    </w:p>
    <w:p>
      <w:r>
        <w:rPr>
          <w:b/>
        </w:rPr>
        <w:t>E. 1</w:t>
      </w:r>
    </w:p>
    <w:p>
      <w:r>
        <w:t>Par jugement du 16 août 2021, la Cour d'appel pénale du Tribunal cantonal vaudois a rejeté l'appel interjeté par A.________ à l'encontre du jugement rendu le 23 mars 2021 par le Tribunal criminel de l'arrondissement de l'Est vaudois. Elle a confirmé le jugement en question, reconnaissant A.________ coupable de brigandage qualifié et de dommages à la propriété et le condamnant à une peine privative de liberté de sept ans et demi, sous déduction de 257 jours de détention avant jugement, y compris la détention extraditionnelle.</w:t>
      </w:r>
    </w:p>
    <w:p>
      <w:r>
        <w:t>Ce jugement a été notifié au recourant, par l'intermédiaire de son conseil d'office, en date du 5 novembre 2021.</w:t>
      </w:r>
    </w:p>
    <w:p>
      <w:r>
        <w:rPr>
          <w:b/>
        </w:rPr>
        <w:t>E. 2</w:t>
      </w:r>
    </w:p>
    <w:p>
      <w:r>
        <w:t>Par acte daté du 8 février 2022, posté le 11 février suivant, A.________ a formé, seul, un recours, manifestement dirigé contre le jugement précité, que la cour cantonale a transmis à la Cour de céans.</w:t>
      </w:r>
    </w:p>
    <w:p>
      <w:r>
        <w:rPr>
          <w:b/>
        </w:rPr>
        <w:t>E. 3</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t>En l'espèce, il ressort des éléments susmentionnés que le jugement querellé a été notifié au recourant en date du 5 novembre 2021. Le délai de recours est arrivé à échéance le 6 décembre 2021. Daté du 8 février 2022 et posté le 11 février suivant, le recours se révèle très largement tardif. Il est, partant, irrecevable.</w:t>
      </w:r>
    </w:p>
    <w:p>
      <w:r>
        <w:rPr>
          <w:b/>
        </w:rPr>
        <w:t>E. 4</w:t>
      </w:r>
    </w:p>
    <w:p>
      <w:r>
        <w:t>Au vu de ce qui précède, l'irrecevabilité du recours s'avère manifeste. Elle doit être constatée dans la procédure simplifiée prévue par l' art. 108 al. 1 let. a LTF .</w:t>
      </w:r>
    </w:p>
    <w:p>
      <w:r>
        <w:t>Il convient exceptionnellement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