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6B_273/2023 vom 21. April 2023</w:t>
      </w:r>
    </w:p>
    <w:p>
      <w:r>
        <w:t>Bundesgericht, 2023-04-21, DE</w:t>
      </w:r>
    </w:p>
    <w:p>
      <w:r>
        <w:rPr>
          <w:b/>
        </w:rPr>
        <w:t xml:space="preserve">Quelle: </w:t>
      </w:r>
      <w:r>
        <w:t>https://mcp.opencaselaw.ch/entscheid/bger_6B_273_2023</w:t>
      </w:r>
    </w:p>
    <w:p>
      <w:r>
        <w:t>FR: TF 6B_273/2023 du 21 avril 2023</w:t>
      </w:r>
    </w:p>
    <w:p>
      <w:r>
        <w:t>IT: TF 6B_273/2023 del 21 aprile 2023</w:t>
      </w:r>
    </w:p>
    <w:p>
      <w:pPr>
        <w:pStyle w:val="Heading2"/>
      </w:pPr>
      <w:r>
        <w:t>Erwägungen</w:t>
      </w:r>
    </w:p>
    <w:p>
      <w:r>
        <w:rPr>
          <w:b/>
        </w:rPr>
        <w:t>E. 1</w:t>
      </w:r>
    </w:p>
    <w:p>
      <w:r>
        <w:t>Das Kreisgericht Toggenburg büsste den Beschwerdeführer mit Entscheid vom 23. Juni 2022 wegen Verletzung der Maskentragpflicht gemäss Art. 28 lit. e i.V.m. Art. 5 Abs. 1 Covid-19-Verordnung besondere Lage sowie wegen Ungehorsams gegen Anordnungen eines Sicherheitsorgans des öffentlichen Verkehrs ( Art. 9 Abs. 1 BGST ) mit Fr. 200.--. Eine dagegen gerichtete Berufung wies das Kantonsgericht St. Gallen am 1. Dezember 2022 ab und bestätigte den Entscheid des Kreisgerichts Toggenburg vom 23. Juni 2022. Der Beschwerdeführer wendet sich an das Bundesgericht.</w:t>
      </w:r>
    </w:p>
    <w:p>
      <w:r>
        <w:rPr>
          <w:b/>
        </w:rPr>
        <w:t>E. 2</w:t>
      </w:r>
    </w:p>
    <w:p>
      <w:r>
        <w:t>Eine Beschwerde hat ein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Die Beschwerde genügt den gesetzlichen Begründungsanforderungen nicht. Der Beschwerdeführer beruft sich auf die Bundesverfassung und Menschenrechte, insbesondere auf Art. 10 BV . Er legt jedoch überhaupt nicht dar, inwiefern diese Norm durch den angefochtenen Entscheid verletzt worden sein soll. Stattdessen führt er u.a. aus, die Covid-19-Pandemie sei eine geplante Sache, eine "Plandemie", die sogenannte Impfung stelle eine gentechnische, experimentelle Misshandlung bei massenhaften und globalen Verstössen gegen den Nürnberger Kodex dar und die Massnahmen des Bundesrats seien vorwiegend politisch motiviert und mit Hirnwäsche verbunden. Zudem verweist er auf Schriften und Rechtsschriften eines Rechtsanwalts. Die Ausführungen des Beschwerdeführers sind allgemeiner Natur, mit denen er - völlig losgelöst von den vorinstanzlichen Erwägungen - den Sachverhalt aus eigener Sicht schildert bzw. seine Weltanschauung und Ideologie darstellt. Daraus ergibt sich nicht im Ansatz, inwiefern die Vorinstanz mit ihrem Entscheid gegen das geltende Recht im Sinne von Art. 95 BGG verstossen haben könnte. Der Begründungsmangel ist evident.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