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6B_273/2009 vom 2. Juli 2009</w:t>
      </w:r>
    </w:p>
    <w:p>
      <w:r>
        <w:t>Bundesgericht, 2009-07-02, FR</w:t>
      </w:r>
    </w:p>
    <w:p>
      <w:r>
        <w:rPr>
          <w:b/>
        </w:rPr>
        <w:t xml:space="preserve">Quelle: </w:t>
      </w:r>
      <w:r>
        <w:t>https://mcp.opencaselaw.ch/entscheid/bger_6B_273_2009</w:t>
      </w:r>
    </w:p>
    <w:p>
      <w:r>
        <w:t>FR: TF 6B_273/2009 du 2 juillet 2009</w:t>
      </w:r>
    </w:p>
    <w:p>
      <w:r>
        <w:t>IT: TF 6B_273/2009 del 2 luglio 2009</w:t>
      </w:r>
    </w:p>
    <w:p>
      <w:pPr>
        <w:pStyle w:val="Heading2"/>
      </w:pPr>
      <w:r>
        <w:t>Erwägungen</w:t>
      </w:r>
    </w:p>
    <w:p>
      <w:r>
        <w:rPr>
          <w:b/>
        </w:rPr>
        <w:t>E. 1</w:t>
      </w:r>
    </w:p>
    <w:p>
      <w:r>
        <w:t>L'arrêt attaqué, rendu en unique instance cantonale, peut faire l'objet d'un recours en matière pénale (art. 78 al. 1 et 80 al. 1 LTF). Le recourant est habilité à le former en sa qualité d'avocat d'office dont l'indemnité est litigieuse ( art. 81 al. 1 LTF ). La Cour de droit pénal est compétente pour examiner le recours ( art. 33 RTF ).</w:t>
      </w:r>
    </w:p>
    <w:p>
      <w:r>
        <w:rPr>
          <w:b/>
        </w:rPr>
        <w:t>E. 2</w:t>
      </w:r>
    </w:p>
    <w:p>
      <w:r>
        <w:t>Le recourant se plaint d'arbitraire dans l'établissement des faits ( art. 9 Cst. ), car l'autorité cantonale n'aurait pas tenu compte pour fixer l'indemnité de l'ensemble des opérations effectuées, en particulier de la visite de son client à la prison du Bois-Mermet. Il reproche également à l'autorité cantonale de ne pas avoir motivé sa décision de manière suffisante ( art. 29 al. 2 Cst. ).</w:t>
      </w:r>
    </w:p>
    <w:p>
      <w:r>
        <w:rPr>
          <w:b/>
        </w:rPr>
        <w:t>E. 2.1</w:t>
      </w:r>
    </w:p>
    <w:p>
      <w:r>
        <w:t>La fixation de l'indemnité allouée à l'avocat d'office pour son activité devant les juridictions cantonales relève en principe du droit cantonal ( ATF 132 I 201 consid. 7.2 et 7.3 p. 205 et 206 ;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 condition d'être équitable, il est admis que la rémunération de l'avocat d'office puisse être inférieure à celle du mandataire choisi. Elle doit non seulement couvrir les frais généraux de l'avocat (d'ordinaire 40% au moins du revenu professionnel brut, voire la moitié de celui-ci; cf. ATF 122 I 1 consid. 3a et 3c p. 2 et 3 et les références citées; voir aussi ATF 122 I 322 consid. 3b p. 325), mais aussi lui permettre de réaliser un gain modeste et non seulement symbolique ( ATF 132 I 201 consid. 8.6, p. 217). Dans un arrêt récent concernant le canton d'Argovie, le Tribunal fédéral a estimé qu'il fallait partir d'un tarif horaire de l'ordre de 180 fr. comme règle de base ( ATF 132 I 201 consid. 8.6 et 8.7 p. 217 s.).</w:t>
      </w:r>
    </w:p>
    <w:p>
      <w:r>
        <w:t>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p. 2 et les arrêts cités). Enfin, il ne suffit pas que l'autorité ait apprécié de manière erronée un poste de l'état des frais ou qu'elle se soit fondée sur un argument déraisonnable. Le montant global alloué à titre d'indemnité doit se révéler arbitraire (sur cette notion: ATF 134 I 140 consid. 5.4 et les arrêts cités p. 148, 133 I 149 consid. 3.1 p. 153 et les références).</w:t>
      </w:r>
    </w:p>
    <w:p>
      <w:r>
        <w:rPr>
          <w:b/>
        </w:rPr>
        <w:t>E. 2.2</w:t>
      </w:r>
    </w:p>
    <w:p>
      <w:r>
        <w:t>En l'espèce, le recourant estimait son temps de travail à 2,5 heures dans sa demande d'indemnité. L'autorité précédente a arrêté l'indemnité allouée au recourant à 50 francs, plus TVA, ce qui correspond à un travail de moins de 20 minutes si l'on applique un tarif horaire de 180 fr. L'autorité cantonale ne mentionne toutefois pas les opérations alléguées par le recourant qu'elle aurait refusé de prendre en considération ni les raisons qui l'auraient amenée à les écarter. Dans ces conditions, la cour de céans ne peut pas contrôler si la quotité de l'indemnité allouée est manifestement insuffisante, donc choquante au sens de la jurisprudence précitée. Faute de motivation suffisante, le recours doit donc être admis et l'arrêt attaqué doit être annulé.</w:t>
      </w:r>
    </w:p>
    <w:p>
      <w:r>
        <w:rPr>
          <w:b/>
        </w:rPr>
        <w:t>E. 3</w:t>
      </w:r>
    </w:p>
    <w:p>
      <w:r>
        <w:t>Le recourant obtient gain de cause. Il peut prétendre à une indemnité de dépens ( art. 68 al. 1 LTF ). Il n'y a pas lieu de prélever des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