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272/2011 vom 9. August 2011</w:t>
      </w:r>
    </w:p>
    <w:p>
      <w:r>
        <w:t>Bundesgericht, 2011-08-09, DE</w:t>
      </w:r>
    </w:p>
    <w:p>
      <w:r>
        <w:rPr>
          <w:b/>
        </w:rPr>
        <w:t xml:space="preserve">Quelle: </w:t>
      </w:r>
      <w:r>
        <w:t>https://mcp.opencaselaw.ch/entscheid/bger_6B_272_2011</w:t>
      </w:r>
    </w:p>
    <w:p>
      <w:r>
        <w:t>FR: TF 6B 272/2011 du 9 août 2011</w:t>
      </w:r>
    </w:p>
    <w:p>
      <w:r>
        <w:t>IT: TF 6B 272/2011 del 9 agosto 2011</w:t>
      </w:r>
    </w:p>
    <w:p>
      <w:pPr>
        <w:pStyle w:val="Heading2"/>
      </w:pPr>
      <w:r>
        <w:t>Regeste</w:t>
      </w:r>
    </w:p>
    <w:p>
      <w:r>
        <w:t>Einfache Verletzung der Verkehrsregeln | Straftaten</w:t>
      </w:r>
    </w:p>
    <w:p>
      <w:pPr>
        <w:pStyle w:val="Heading2"/>
      </w:pPr>
      <w:r>
        <w:t>Erwägungen</w:t>
      </w:r>
    </w:p>
    <w:p>
      <w:r>
        <w:rPr>
          <w:b/>
        </w:rPr>
        <w:t>E. 1.1</w:t>
      </w:r>
    </w:p>
    <w:p>
      <w:r>
        <w:t>Der Beschwerdeführer rügt eine offensichtlich unrichtige Sachverhaltsfeststellung und eine Verletzung der Unschuldsvermutung. Die Vorinstanz werfe ihm vor, er hätte nicht erst einen zweiten Blick auf die Fussgänger werfen dürfen, als diese die Führerkabine bereits passiert hätten und keine Zeit zum Reagieren geblieben sei. Dies obschon den Akten nicht zu entnehmen sei, dass er zwischen dem ersten Erkennen der Fussgänger bis kurz vor dem Zusammenstoss keinen Blick mehr auf diese gerichtet habe. Aktenkundig sei hingegen, dass die Fussgänger beim Gehen vom Lesestoff immer wieder aufgeblickt und den von der Vorinstanz angegebenen Grund für eine erhöhte Aufmerksamkeit damit egalisiert hätten. Sie hätten die ganze Zeit geschaut, wo sie hingelaufen seien. Die Vorinstanz habe diese Umstände wie auch die Tatsache, dass die beiden Fussgänger am fraglichen Morgen Methadon und Valium konsumiert hätten, unbeachtet gelassen.</w:t>
      </w:r>
    </w:p>
    <w:p>
      <w:r>
        <w:rPr>
          <w:b/>
        </w:rPr>
        <w:t>E. 1.2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Grundsatz in dubio pro reo kommt in seiner vom Beschwerdeführer angerufenen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135 I 313 E. 1.3 ; 134 I 140 E. 5.4; je mit Hinweisen). Die Rüge der Willkür muss in der Beschwerde anhand des angefochtenen Entscheids präzise vorgebracht und begründet werden, ansonsten darauf nicht eingetreten wird ( Art. 106 Abs. 2 BGG ; BGE 136 I 49 E. 1.4.1; 134 II 244 E. 2.2).</w:t>
      </w:r>
    </w:p>
    <w:p>
      <w:r>
        <w:rPr>
          <w:b/>
        </w:rPr>
        <w:t>E. 1.3</w:t>
      </w:r>
    </w:p>
    <w:p>
      <w:r>
        <w:t>Der Einwand des Beschwerdeführers, die beiden Fussgänger seien immer auf die Strasse konzentriert gewesen, und es habe für ihn daher kein Grund bestanden, besonders auf diese Rücksicht zu nehmen, erschöpft sich in einer unzulässigen appellatorischen Kritik. A.________ gab an, er habe den Lastwagen des Beschwerdeführers nicht gesehen. Dessen Begleiter sagte aus, er habe das Fahrzeug erst im letzten Moment wahrgenommen, hätte den Zusammenstoss durch seinen Warnruf jedoch nicht mehr verhindern können. Beide Fussgänger gaben zudem zu Protokoll, sie hätten beim Gehen gemeinsam etwas gelesen. Nicht willkürlich ist daher die vorinstanzliche Feststellung, zumindest A.________ habe seine Aufmerksamkeit dem Lesestoff und nicht der Strasse oder gar dem Fahrzeug des Beschwerdeführers zugewandt. Ebenso wenig verfällt die Vorinstanz in Willkür, wenn sie davon ausgeht, diese Situation sei für den Beschwerdeführer erkennbar gewesen. Offen bleiben kann, ob dieser die Fussgänger auch in der Zeit, als er sie aus der Distanz von 30 Metern wahrnahm, bis zum Zeitpunkt, als sie die Führerkabine des Sattelschleppers passierten, im Auge behielt. Aktenmässig belegt ist, dass die beiden Fussgänger ca. 10 Minuten vor dem Vorfall ärztlich verschriebenes Methadon als Suchtmittelersatz zu sich nahmen. Ob die fehlende Aufmerksamkeit der Fussgänger allenfalls nicht nur auf den Lesestoff, sondern auch auf den Drogenkonsum zurückzuführen ist, ist für die rechtliche Qualifikation unerheblich. Die Vorinstanz war nicht gehalten, die möglichen weiteren Ursachen für die Unaufmerksamkeit im angefochtenen Urteil näher zu erörtern. Die Sachverhaltsrügen des Beschwerdeführers sind unbegründet, soweit darauf einzutreten ist.</w:t>
      </w:r>
    </w:p>
    <w:p>
      <w:r>
        <w:rPr>
          <w:b/>
        </w:rPr>
        <w:t>E. 2.1</w:t>
      </w:r>
    </w:p>
    <w:p>
      <w:r>
        <w:t>Der Beschwerdeführer wendet in rechtlicher Hinsicht ein, sein Fahrzeug sei im Zeitpunkt der Kollision stillgestanden. Der Fussgängerkorridor links und rechts seines Sattelschleppers habe stets mindestens 1,2 Meter betragen, womit die Fussgänger ausreichend Raum zum Passieren des Fahrzeugs gehabt hätten. Es könne nicht von einer Missachtung des Vortrittsrechts ausgegangen werden. Auch könne ihm nicht zum Vorwurf gemacht werden, die Hupe nicht betätigt zu haben, da überflüssige Warnsignale zu unterlassen seien und ihm diesbezüglich ein gewisser Ermessensspielraum zuerkannt werden müsse. Er habe darauf vertrauen dürfen, dass sich die Fussgänger korrekt verhalten würden.</w:t>
      </w:r>
    </w:p>
    <w:p>
      <w:r>
        <w:rPr>
          <w:b/>
        </w:rPr>
        <w:t>E. 2.2</w:t>
      </w:r>
    </w:p>
    <w:p>
      <w:r>
        <w:t>Nach Art. 90 Ziff. 1 SVG macht sich strafbar, wer die Verkehrsregeln des SVG oder der Vollziehungsvorschriften des Bundesrates verletzt. Wird in der Fussgängerzone ausnahmsweise beschränkter Fahrzeugverkehr zugelassen, darf höchstens im Schritttempo gefahren werden. Die Fussgänger und Benützer von fahrzeugähnlichen Geräten haben Vortritt ( Art. 27 Abs. 2 SVG i.V.m. Art. 22c Abs. 1 der Signalisationsverordnung, SSV; SR 741.21). Wo die Sicherheit des Verkehrs es erfordert, hat der Fahrzeugführer die übrigen Strassenbenützer zu warnen. Unnötige und übermässige Warnsignale sind zu unterlassen ( Art. 40 SVG ). Nach dem von der Rechtsprechung aus Art. 26 Abs. 1 SVG abgeleiteten Vertrauensgrundsatz darf jeder Strassenbenützer darauf vertrauen, dass sich die anderen Verkehrsteilnehmer ebenfalls ordnungsgemäss verhalten.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 BGE 124 IV 81 E. 2b; 118 IV 277 E. 4a). Der Vertrauensgrundsatz wird eingeschränkt durch Art. 26 Abs. 2 SVG . Danach ist besondere Vorsicht u.a. geboten, wenn Anzeichen dafür bestehen, dass sich ein Strassenbenützer nicht richtig verhalten wird.</w:t>
      </w:r>
    </w:p>
    <w:p>
      <w:r>
        <w:rPr>
          <w:b/>
        </w:rPr>
        <w:t>E. 2.3</w:t>
      </w:r>
    </w:p>
    <w:p>
      <w:r>
        <w:t>Die Vorinstanz erwägt zutreffend, der Beschwerdeführer habe nicht darauf vertrauen dürfen, dass A.________ den Sattelschlepper noch wahrnehmen werde, sondern er hätte den abgelenkten und grundsätzlich vortrittsberechtigten Fussgänger mit erhöhter Aufmerksamkeit im Auge behalten müssen. Hätte er sein Fahrzeug frühzeitig angehalten oder die Hupe betätigt, hätte die Kollision nach Auffassung der Vorinstanz mit grosser Wahrscheinlichkeit vermieden werden können, da diesfalls auch der Durchgang zwischen dem Auflieger und der rechten Strassenseite noch breiter gewesen wäre (angefochtenes Urteil S. 8 f.). Wohl war es den Fussgängern möglich, den Sattelschlepper bis zum Auflieger zu passieren, während sie weiterhin nebeneinander hergingen. Der Raum zwischen dem Fahrzeug und der sich am rechten Strassenrand befindenden Gartenwirtschaftsbestuhlung wurde am Ort der Kollision jedoch zusätzlich durch den Umstand verringert, dass der Beschwerdeführer mit seinem Sattelschlepper eine Kurve fuhr. Der Sattelschlepperzug und der Auflieger des Fahrzeugs lagen daher nicht auf einer Achse, sondern das rechte vordere Eck des Sattelaufliegers befand sich im den Passanten verbleibenden Korridor. Dies war bei gesenktem Blick nicht ohne weiteres erkennbar und schliesslich auch die Ursache für den Unfall. An dieser Stelle verblieb den Fussgängern nicht mehr genügend Raum, um ungestört nebeneinander hergehend das Fahrzeug passieren zu können. Der Beschwerdeführer hätte sich der damit für die unaufmerksamen Fussgänger einhergehenden Gefahr bewusst sein müssen. Da er sich in einer Fussgängerzone befand, hätte er sich zumindest vergewissern müssen, nötigenfalls durch ein Hupsignal, dass diese das Fahrzeug und die von diesem ausgehende Gefahr wahrgenommen hatten. Dies wäre beispielsweise der Fall gewesen, wenn die Fussgänger durch Stillstehen oder vorsichtiges Hintereinandergehen zu erkennen gegeben hätten, dem Sattelschlepper den Vortritt zu gewähren. Dem Beschwerdeführer wird im angefochtenen Entscheid in erster Linie vorgeworfen, die unaufmerksamen und sich möglicherweise ihrerseits unkorrekt verhaltenden Fussgänger nicht durch ein Hupsignal auf die besondere Verkehrssituation aufmerksam gemacht zu haben. Ob A.________ ebenfalls ein Verschulden am Unfall trifft, ist nicht zu prüfen, da das Strafrecht keine Verschuldenskompensation kennt. Der angefochtene Entscheid verletzt kein Bundesrecht.</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