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272/2010 vom 9. Juli 2010</w:t>
      </w:r>
    </w:p>
    <w:p>
      <w:r>
        <w:t>Bundesgericht, 2010-07-09, DE</w:t>
      </w:r>
    </w:p>
    <w:p>
      <w:r>
        <w:rPr>
          <w:b/>
        </w:rPr>
        <w:t xml:space="preserve">Quelle: </w:t>
      </w:r>
      <w:r>
        <w:t>https://mcp.opencaselaw.ch/entscheid/bger_6B_272_2010</w:t>
      </w:r>
    </w:p>
    <w:p>
      <w:r>
        <w:t>FR: TF 6B 272/2010 du 9 juillet 2010</w:t>
      </w:r>
    </w:p>
    <w:p>
      <w:r>
        <w:t>IT: TF 6B 272/2010 del 9 luglio 2010</w:t>
      </w:r>
    </w:p>
    <w:p>
      <w:pPr>
        <w:pStyle w:val="Heading2"/>
      </w:pPr>
      <w:r>
        <w:t>Regeste</w:t>
      </w:r>
    </w:p>
    <w:p>
      <w:r>
        <w:t>Verletzung der Verkehrsregeln (Überholen an unübersichtlicher Stelle) | Straftaten</w:t>
      </w:r>
    </w:p>
    <w:p>
      <w:pPr>
        <w:pStyle w:val="Heading2"/>
      </w:pPr>
      <w:r>
        <w:t>Erwägungen</w:t>
      </w:r>
    </w:p>
    <w:p>
      <w:r>
        <w:rPr>
          <w:b/>
        </w:rPr>
        <w:t>E. 1</w:t>
      </w:r>
    </w:p>
    <w:p>
      <w:r>
        <w:t>Der Antrag der Beschwerdeführerin ist auslegungsbedürftig.</w:t>
      </w:r>
    </w:p>
    <w:p>
      <w:r>
        <w:rPr>
          <w:b/>
        </w:rPr>
        <w:t>E. 1.1</w:t>
      </w:r>
    </w:p>
    <w:p>
      <w:r>
        <w:t>Vorinstanz gemäss Art. 80 Abs. 1 BGG ist das Kantonsgericht Schwyz. Beschwerdegegenstand gemäss Art. 90 BGG ist das angefochtene Urteil des Kantonsgerichts Schwyz. Das Bundesgericht hat weder die kantonale Anschlussberufung (des Beschwerdegegners) abzuweisen noch das bezirksgerichtliche Urteil zu bestätigen. Darauf ist nicht einzutreten.</w:t>
      </w:r>
    </w:p>
    <w:p>
      <w:r>
        <w:rPr>
          <w:b/>
        </w:rPr>
        <w:t>E. 1.2</w:t>
      </w:r>
    </w:p>
    <w:p>
      <w:r>
        <w:t>Das Bundesgericht darf nicht über die Begehren der Parteien hinausgehen ( Art. 107 Abs. 1 BGG ). Anders als bei der Vorinstanz (oben E. B) beantragt die Beschwerdeführerin vor Bundesgericht nicht mehr einen Schuldspruch wegen Überholens ohne ausreichenden Abstand beim Wiedereinbiegen im Sinne von Art. 34 Abs. 4 SVG i.V.m. Art. 90 Ziff. 2 SVG , sondern im Ergebnis nur, den Freispruch der Vorinstanz aufzuheben und "das Urteil des Bezirksgerichts [...] zu bestätigen".</w:t>
      </w:r>
    </w:p>
    <w:p>
      <w:r>
        <w:rPr>
          <w:b/>
        </w:rPr>
        <w:t>E. 1.3</w:t>
      </w:r>
    </w:p>
    <w:p>
      <w:r>
        <w:t>Zusammengefasst beantragt die Beschwerdeführerin vor Bundesgericht einen (zusätzlichen) Schuldspruch wegen Überholens eines Motorfahrzeuges an unübersichtlicher Stelle gemäss Art. 35 Abs. 4 SVG i.V.m. Art. 90 Ziff. 1 SVG . Der Beschwerdegegner sei "getreu dem Urteil des Bezirksgerichts schuldig zu sprechen" (Beschwerde S. 5 Ziff. 6). Sie beantragt weder für das Überholmanöver die naheliegende Verurteilung wegen grober Verkehrsregelverletzung gemäss Art. 90 Ziff. 2 SVG noch eine Änderung der Sanktion.</w:t>
      </w:r>
    </w:p>
    <w:p>
      <w:r>
        <w:rPr>
          <w:b/>
        </w:rPr>
        <w:t>E. 2</w:t>
      </w:r>
    </w:p>
    <w:p>
      <w:r>
        <w:t>Die Beschwerdeführerin stimmt der vorinstanzlichen Berechnung des Überholweges zu, wendet aber ein, die überblickbare Strecke sei nicht geschätzt, sondern "selbstverständlich" von der Polizei mit der Messrolle abgemessen worden. Weiter müsse die Strecke nicht nur überblickbar sein, sondern auch ein entgegenkommendes Fahrzeug dürfe nicht gefährdet werden. Der Überholweg hätte daher das Doppelte von 144 m, nämlich 288 m betragen müssen, und nicht bloss 150 m (mit Hinweis auf Urteil 1P.245/2000 vom 21. Juni 2000 E. 2b). Die Strecke wäre also selbst unter der aktenwidrigen Annahme von 200 m keinesfalls überblickbar gewesen. Indem die Vorinstanz bei der Berechnung der frei überblickbaren Strecke die Möglichkeit eines entgegenkommenden Fahrzeugs nicht berücksichtigt habe, verletze sie Art. 35 SVG .</w:t>
      </w:r>
    </w:p>
    <w:p>
      <w:r>
        <w:rPr>
          <w:b/>
        </w:rPr>
        <w:t>E. 3</w:t>
      </w:r>
    </w:p>
    <w:p>
      <w:r>
        <w:t>Die Vorinstanz führt aus, der Überholweg setze sich zusammen aus der Ausbiegestrecke, dem Parallelweg und der Einbiegestrecke, und er sei abhängig von den Längen und Geschwindigkeiten der beteiligten Fahrzeuge. Der vom Bezirksgericht berechnete Überholweg von rund 144 m, der von der Staatsanwaltschaft letztlich nicht in Frage gestellt werde, berücksichtige für die Aus- und Einbiegestrecke rund 50 m und damit den geforderten "halben Tacho" des überholenden Fahrzeugs für das Wiedereinbiegen. Es gehe lediglich um das gefahrlose und behinderungsfreie Einbiegen nach einem Überholmanöver. Das sei zweifellos gegeben (angefochtenes Urteil S. 5 f.). Zum Vorbringen der Staatsanwaltschaft, eine Strecke müsse in dem Masse überblickbar sein, dass durch das Überholmanöver auch ein entgegenkommender Verkehrsteilnehmer nicht gefährdet werde (angefochtenes Urteil S. 8), hält die Vorinstanz fest: Da der Beschwerdegegner spätestens vor der Rechtskurve wieder eingebogen und diese einsehbar gewesen sei, "vermochte er sein Überholmanöver noch vor Ende der überblickbaren Strecke zu beenden" (angefochtenes Urteil S. 9 f.). Bei dieser Sachlage sei er freizusprechen.</w:t>
      </w:r>
    </w:p>
    <w:p>
      <w:r>
        <w:rPr>
          <w:b/>
        </w:rPr>
        <w:t>E. 4</w:t>
      </w:r>
    </w:p>
    <w:p>
      <w:r>
        <w:t>Indem die Vorinstanz als hinreichend annimmt, dass der Beschwerdegegner "sein Überholmanöver noch vor Ende der überblickbaren Strecke zu beenden" vermochte, verletzt sie Bundesrecht. Gemäss Art. 35 Abs. 2 SVG sind Überholen und Vorbeifahren an Hindernissen nur gestattet, "wenn der nötige Raum übersichtlich und frei ist und der Gegenverkehr nicht behindert wird". Ferner darf "im Bereich von unübersichtlichen Kurven" ( BGE 109 IV 134 E. 3) gemäss Art. 35 Abs. 4 SVG nicht überholt werden. Die Vorinstanz berücksichtigt nicht, dass der Gegenverkehr nicht behindert werden darf. Es muss nicht nur die für den Überholvorgang benötigte Strecke übersichtlich und frei sein, sondern zusätzlich jene, die ein entgegenkommendes Fahrzeug bis zu jenem Punkt zurücklegt, wo der Überholende die linke Strassenseite freigegeben haben wird. Es genügt daher nicht, dass der Überholende darnach trachtet, den Überholvorgang kurz vor der unübersichtlichen Kurve abzuschliessen ( BGE 109 IV 134 E. 2).</w:t>
      </w:r>
    </w:p>
    <w:p>
      <w:r>
        <w:rPr>
          <w:b/>
        </w:rPr>
        <w:t>E. 5</w:t>
      </w:r>
    </w:p>
    <w:p>
      <w:r>
        <w:t>Die Beschwerde ist gutzuheissen, soweit darauf einzutreten ist, das angefochtene Urteil aufzuheben und die Sache zu neuer Beurteilung an die Vorinstanz zurückzuweisen. Der Beschwerdeführerin ist keine Entschädigung auszurichten ( Art. 68 Abs. 3 BGG ). Der Beschwerdegegner unterliegt mit seinem Vernehmlassungsantrag. Entsprechend hat 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