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6B_272/2009 vom 22. Juni 2009</w:t>
      </w:r>
    </w:p>
    <w:p>
      <w:r>
        <w:t>Bundesgericht, 2009-06-22, DE</w:t>
      </w:r>
    </w:p>
    <w:p>
      <w:r>
        <w:rPr>
          <w:b/>
        </w:rPr>
        <w:t xml:space="preserve">Quelle: </w:t>
      </w:r>
      <w:r>
        <w:t>https://mcp.opencaselaw.ch/entscheid/bger_6B_272_2009</w:t>
      </w:r>
    </w:p>
    <w:p>
      <w:r>
        <w:t>FR: TF 6B_272/2009 du 22 juin 2009</w:t>
      </w:r>
    </w:p>
    <w:p>
      <w:r>
        <w:t>IT: TF 6B_272/2009 del 22 giugno 2009</w:t>
      </w:r>
    </w:p>
    <w:p>
      <w:pPr>
        <w:pStyle w:val="Heading2"/>
      </w:pPr>
      <w:r>
        <w:t>Erwägungen</w:t>
      </w:r>
    </w:p>
    <w:p>
      <w:r>
        <w:rPr>
          <w:b/>
        </w:rPr>
        <w:t>E. 1.1</w:t>
      </w:r>
    </w:p>
    <w:p>
      <w:r>
        <w:t>Die Vorinstanz hat die Beschwerdegegnerin erstens unter Hinweis insbesondere auf BGE 134 IV 266 mit der Begründung freigesprochen, dass sich der Vorwurf des Verkaufs von sechs Flaschen Bier an eine 15-jährige Person im Wesentlichen auf Beweise stütze, die durch das Verhalten der "Testkäuferin" gewonnen worden seien, was als verdeckte Ermittlung im Sinne des Bundesgesetzes über die verdeckte Ermittlung (BVE; SR 312.8) zu qualifizieren sei. Dieses Gesetz lasse jedoch für eine Straftat der hier in Betracht fallenden Art die verdeckte Ermittlung nicht zu. Daher seien die durch den Testkauf gewonnenen Beweise im Strafverfahren nicht verwertbar. Zufolge des Beweisverwertungsverbots seien die Akten im Zusammenhang mit dem durch das Pass- und Patentbüro Basel-Landschaft durchgeführten Alkohol-Testkauf aus dem Recht zu weisen. Infolge der daraus resultierenden Beweislosigkeit sei die Beschwerdegegnerin in Anwendung des Grundsatzes "in dubio pro reo" freizusprechen. Die Vorinstanz betont im Übrigen, dass sie im vorliegenden Verfahren nicht generell über die Zulässigkeit von Testkäufen nach § 26 Abs. 4 GgG/BL, beispielsweise im Hinblick auf ein verwaltungsrechtliches Verfahren, zu entscheiden habe.</w:t>
      </w:r>
    </w:p>
    <w:p>
      <w:r>
        <w:t>Die Vorinstanz hat zweitens erwogen, die Beschwerdegegnerin sei auch freizusprechen, wenn der Testkauf nicht als verdeckte Ermittlung im Sinne des BVE qualifiziert werde und die durch den Testkauf gewonnenen Beweise im Strafverfahren verwertbar seien. Der Beschwerdegegnerin könne nämlich entgegen der Ansicht der ersten Instanz nicht zumindest Fahrlässigkeit vorgeworfen werden. Die Vorinstanz verweist auf die Bestimmungen des kantonalen Gastgewerbegesetzes, wonach gegorene Getränke gemäss Bundesrecht nicht an Personen unter 16 Jahren abgegeben werden dürfen (§ 15 Abs. 2 Satz 1 GgG/BL), in Zweifelsfällen die verantwortliche Person und ihre Mitarbeiterinnen und Mitarbeiter sich über das Alter zu vergewissern haben (§ 15 Abs. 2 Satz 2 GgG/BL) und mit Busse bestraft wird, wer vorsätzlich oder fahrlässig die Verpflichtungen nach dem Gastgewerbegesetz nicht einhält (§ 29 Abs. 1 lit. b GgG/BL). Das strafbare Verhalten bestehe somit in der Unterlassung, sich im Zweifelsfall über das Alter des Käufers zu vergewissern. Die Beschwerdegegnerin habe ausgesagt, sie habe das Alter der Käuferin auf 18 Jahre geschätzt. Diese Aussage sei nicht widerlegbar. Dem Gericht lägen keine Beweise betreffend das Erscheinungsbild der Käuferin im Zeitpunkt des Testkaufs vor. Für die Beschwerdegegnerin habe nach deren massgebenden Einschätzung in Bezug auf den Verkauf von Bier an die vermeintlich 18-jährige, in Tat und Wahrheit aber 15 Jahre und 8 Monate alte Käuferin kein Zweifelsfall vorgelegen. Daher habe sich die Beschwerdegegnerin nicht pflichtwidrig unvorsichtig verhalten, indem sie es unterlassen habe, von der Käuferin die Vorlage eines Ausweises zu verlangen. Es könne von einer Verkäuferin nicht gefordert werden, dass sie eine Person, die 18 Jahre alt zu sein scheine, nach einem Ausweis frage, bevor sie ihr alkoholische Getränke verkaufe, die bereits an 16-Jährige abgegeben werden dürfen.</w:t>
      </w:r>
    </w:p>
    <w:p>
      <w:r>
        <w:t>Der vorinstanzliche Freispruch beruht somit auf zwei selbständigen Begründungen, nämlich dass erstens die durch den als verdeckte Ermittlung zu qualifizierenden Testkauf gewonnenen Beweise nicht verwertbar seien und dass zweitens der Beschwerdegegnerin nicht Fahrlässigkeit vorgeworfen werden könne.</w:t>
      </w:r>
    </w:p>
    <w:p>
      <w:r>
        <w:rPr>
          <w:b/>
        </w:rPr>
        <w:t>E. 1.2</w:t>
      </w:r>
    </w:p>
    <w:p>
      <w:r>
        <w:t>Die Beschwerdeführerin macht geltend, ein Testkauf der vorliegenden Art sei entgegen der Auffassung der Vorinstanz nicht als verdeckte Ermittlung im Sinne des BVE zu qualifizieren. Daher seien die durch das Verhalten der Testkäuferin gewonnenen Beweise entgegen der Ansicht der Vorinstanz im Strafverfahren verwertbar.</w:t>
      </w:r>
    </w:p>
    <w:p>
      <w:r>
        <w:t>Die Beschwerdeführerin macht nicht geltend, dass die Beschwerdegegnerin entgegen den weiteren Erwägungen der Vorinstanz zumindest fahrlässig gehandelt habe.</w:t>
      </w:r>
    </w:p>
    <w:p>
      <w:r>
        <w:t>Die Beschwerdeführerin setzt sich somit nur mit einer von zwei selbständigen Begründungen auseinander, auf welchen der vorinstanzliche Freispruch beruht.</w:t>
      </w:r>
    </w:p>
    <w:p>
      <w:r>
        <w:rPr>
          <w:b/>
        </w:rPr>
        <w:t>E. 1.3</w:t>
      </w:r>
    </w:p>
    <w:p>
      <w:r>
        <w:t>In der Begründung der Rechtsschrift ist in gedrängter Form darzulegen, inwiefern der angefochtene Akt Recht verletzt ( Art. 42 Abs. 2 Satz 1 BGG ). Diese allgemeine Verfahrensbestimmung gilt auch für die Beschwerde in Strafsachen. 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 mit Hinweisen).</w:t>
      </w:r>
    </w:p>
    <w:p>
      <w:r>
        <w:t>Die Beschwerdeführerin setzt sich nur mit der einen der beiden selbständigen vorinstanzlichen Begründungen des Freispruchs auseinander. Selbst wenn der Beschwerdeführerin darin beizupflichten wäre, dass ein Testkauf der hier vorliegenden Art nicht als verdeckte Ermittlung im Sinne des BVE zu qualifizieren sei beziehungsweise die durch einen solchen Testkauf gewonnenen Beweise in einem Strafverfahren verwertbar seien, bliebe es beim vorinstanzlichen Freispruch der Beschwerdegegnerin mangels Fahrlässigkeit, welchen das Bundesgericht im vorliegenden Verfahren nicht zu überprüfen hat, da die Beschwerdeführerin nicht darlegt, dass und inwiefern die Vorinstanz Fahrlässigkeit zu Unrecht verneint habe.</w:t>
      </w:r>
    </w:p>
    <w:p>
      <w:r>
        <w:t>Auf die Beschwerde ist somit nicht einzutreten.</w:t>
      </w:r>
    </w:p>
    <w:p>
      <w:r>
        <w:rPr>
          <w:b/>
        </w:rPr>
        <w:t>E. 2</w:t>
      </w:r>
    </w:p>
    <w:p>
      <w:r>
        <w:t>Bei diesem Ausgang des Verfahrens sind keine Gerichtskosten zu erheben ( Art. 66 Abs. 4 BGG ). Der Beschwerdegegnerin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