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6B_271/2019 vom 12. März 2019</w:t>
      </w:r>
    </w:p>
    <w:p>
      <w:r>
        <w:t>Bundesgericht, 2019-03-12, FR</w:t>
      </w:r>
    </w:p>
    <w:p>
      <w:r>
        <w:rPr>
          <w:b/>
        </w:rPr>
        <w:t xml:space="preserve">Quelle: </w:t>
      </w:r>
      <w:r>
        <w:t>https://mcp.opencaselaw.ch/entscheid/bger_6B_271_2019</w:t>
      </w:r>
    </w:p>
    <w:p>
      <w:r>
        <w:t>FR: TF 6B_271/2019 du 12 mars 2019</w:t>
      </w:r>
    </w:p>
    <w:p>
      <w:r>
        <w:t>IT: TF 6B_271/2019 del 12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 Le délai est observé si le mémoire est remis à la poste Suisse le dernier jour du délai ( art. 48 al. 1 LTF ).</w:t>
      </w:r>
    </w:p>
    <w:p>
      <w:r>
        <w:t>En l'espèce, la décision cantonale a été notifiée le 22 janvier 2019. Le délai a couru du 23 janvier au 21 février 2019. Remis à un bureau de poste suisse deux jours plus tard, le recours est tardif. L'irrecevabilité est manifeste, ce qu'il convient de constater en application de l' art. 108 al. 1 let. a LTF .</w:t>
      </w:r>
    </w:p>
    <w:p>
      <w:r>
        <w:rPr>
          <w:b/>
        </w:rPr>
        <w:t>E. 2</w:t>
      </w:r>
    </w:p>
    <w:p>
      <w:r>
        <w:t>Le recourant succombe. Il supporte les frais de la procédure (art. 65 al. 2 et 66 al. 1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