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6B_270/2015 vom 18. November 2015</w:t>
      </w:r>
    </w:p>
    <w:p>
      <w:r>
        <w:t>Bundesgericht, 2015-11-18, FR</w:t>
      </w:r>
    </w:p>
    <w:p>
      <w:r>
        <w:rPr>
          <w:b/>
        </w:rPr>
        <w:t xml:space="preserve">Quelle: </w:t>
      </w:r>
      <w:r>
        <w:t>https://mcp.opencaselaw.ch/entscheid/bger_6B_270_2015</w:t>
      </w:r>
    </w:p>
    <w:p>
      <w:r>
        <w:t>FR: TF 6B_270/2015 du 18 novembre 2015</w:t>
      </w:r>
    </w:p>
    <w:p>
      <w:r>
        <w:t>IT: TF 6B_270/2015 del 18 novembre 2015</w:t>
      </w:r>
    </w:p>
    <w:p>
      <w:pPr>
        <w:pStyle w:val="Heading2"/>
      </w:pPr>
      <w:r>
        <w:t>Erwägungen</w:t>
      </w:r>
    </w:p>
    <w:p>
      <w:r>
        <w:rPr>
          <w:b/>
        </w:rPr>
        <w:t>E. 1</w:t>
      </w:r>
    </w:p>
    <w:p>
      <w:r>
        <w:t>Le Tribunal fédéral examine d'office et librement la recevabilité des recours qui lui sont soumis ( ATF 139 III 252 consid. 1.1 p. 252).</w:t>
      </w:r>
    </w:p>
    <w:p>
      <w:r>
        <w:rPr>
          <w:b/>
        </w:rPr>
        <w:t>E. 1.1</w:t>
      </w:r>
    </w:p>
    <w:p>
      <w:r>
        <w:t>Selon l'article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w:t>
      </w:r>
    </w:p>
    <w:p>
      <w:r>
        <w:t>Aux termes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 art. 119 al. 2 let. b CPP ) il n'en reste pas moins que le ministère public qui refuse d'entrer en matière ou prononce un classement n'a pas à statuer sur l'aspect civil ( art. 320 al. 3 CPP ). Dans tous les cas, il incombe par conséquent à la partie plaignante d'expliquer dans son mémoire au Tribunal fédéral quelles prétentions civiles elle entend faire valoir conte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 recourant soutient qu'il a l'intention de demander la révision de la décision du Tribunal civil le condamnant au paiement de 9'560 fr., en se fondant sur l' art. 328 al. 1 let. b CPC . Cette disposition permet une révision lorsqu'une procédure pénale établit que la décision a été influencée par un crime ou un délit. Compte tenu de l'issue de la cause point n'est besoin de rechercher si ces indications sont suffisantes au regard des principes rappelés ci-dessus et si, partant, le recours est recevable.</w:t>
      </w:r>
    </w:p>
    <w:p>
      <w:r>
        <w:rPr>
          <w:b/>
        </w:rPr>
        <w:t>E. 2</w:t>
      </w:r>
    </w:p>
    <w:p>
      <w:r>
        <w:t>Le recourant soutient que l'ordonnance de classement a été rendue en violation de l' art. 319 CPP .</w:t>
      </w:r>
    </w:p>
    <w:p>
      <w:r>
        <w:rPr>
          <w:b/>
        </w:rPr>
        <w:t>E. 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 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2.2</w:t>
      </w:r>
    </w:p>
    <w:p>
      <w:r>
        <w:t>Le comportement délictueux visé par l' art. 146 CP consiste à tromper autrui et à l'amener ainsi à un ou plusieurs actes préjudiciables à ses intérêts pécuniaires ou à ceux d'un tiers. L'escroquerie exige donc que l'état de fait révèle une volonté délibérée de tromperie parce que l'auteur a proféré des affirmations fallacieuses, dissimulé des faits vrais ou enfin conforté la dupe dans son comportement. Selon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Les infractions d'escroquerie et de faux dans les titres sont des infractions intentionnelles. Agit intentionnellement quiconque commet un crime ou un délit avec conscience et volonté.</w:t>
      </w:r>
    </w:p>
    <w:p>
      <w:r>
        <w:rPr>
          <w:b/>
        </w:rPr>
        <w:t>E. 2.3</w:t>
      </w:r>
    </w:p>
    <w:p>
      <w:r>
        <w:t>L'autorité cantonale a constaté que l'examen des documents déposés en cause ne révèle en aucune façon l'existence d'indices d'une volonté délibérée de tromperie et de falsification. En particulier, le ministère public a vérifié que la somme de 4'275 fr. 80 résulte bien de factures déposées en cause, que ces factures correspondent à des bulletins de livraison et qu'elles ressortent de la liste des paiements produite par l'intimé, à côté des factures qui ont fait l'objet de la procédure civile introduite le 23 décembre 2009. Il a donc vérifié l'affectation de ce montant. Par ailleurs, comme l'a souligné l'autorité cantonale, la justice civile a tranché la question de savoir si le paiement de 4'275 fr. 80 devait ou non être imputé sur les factures litigieuses. Elle l'a fait au terme d'un examen minutieux et fouillé. Enfin, le ministère public a également souligné que malgré la qualité des documents et les annotations qui y figurent, annotations qui s'apparentent à des pointages effectués par les livreurs, il n'apparaît pas que l'intimé les a falsifiés voire confectionnés pour tromper le juge civil.</w:t>
      </w:r>
    </w:p>
    <w:p>
      <w:r>
        <w:t>Il apparaît donc que les faits ne sont pas punissables. Les seules affirmations du recourant ne sauraient suffire à démontrer qu'une condamnation de l'intimé serait plus vraisemblable que son acquittement. Partant, l'appréciation à laquelle la cour cantonale a procédé en confirmant l'ordonnance de classement rendue par le ministère public ne viole pas, dans son résultat, le principe " in dubio pro duriore ", pas plus que le principe de la légalité dont ce dernier découle.</w:t>
      </w:r>
    </w:p>
    <w:p>
      <w:r>
        <w:rPr>
          <w:b/>
        </w:rPr>
        <w:t>E. 3</w:t>
      </w:r>
    </w:p>
    <w:p>
      <w:r>
        <w:t>Mal fondé,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