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26/2010 vom 3. Mai 2010</w:t>
      </w:r>
    </w:p>
    <w:p>
      <w:r>
        <w:t>Bundesgericht, 2010-05-03, FR</w:t>
      </w:r>
    </w:p>
    <w:p>
      <w:r>
        <w:rPr>
          <w:b/>
        </w:rPr>
        <w:t xml:space="preserve">Quelle: </w:t>
      </w:r>
      <w:r>
        <w:t>https://mcp.opencaselaw.ch/entscheid/bger_6B_26_2010</w:t>
      </w:r>
    </w:p>
    <w:p>
      <w:r>
        <w:t>FR: TF 6B 26/2010 du 3 mai 2010</w:t>
      </w:r>
    </w:p>
    <w:p>
      <w:r>
        <w:t>IT: TF 6B 26/2010 del 3 maggio 2010</w:t>
      </w:r>
    </w:p>
    <w:p>
      <w:pPr>
        <w:pStyle w:val="Heading2"/>
      </w:pPr>
      <w:r>
        <w:t>Regeste</w:t>
      </w:r>
    </w:p>
    <w:p>
      <w:r>
        <w:t>Fixation de la peine (infraction grave à la LStup) | Droit pénal (en général)</w:t>
      </w:r>
    </w:p>
    <w:p>
      <w:pPr>
        <w:pStyle w:val="Heading2"/>
      </w:pPr>
      <w:r>
        <w:t>Erwägungen</w:t>
      </w:r>
    </w:p>
    <w:p>
      <w:r>
        <w:rPr>
          <w:b/>
        </w:rPr>
        <w:t>E. 1</w:t>
      </w:r>
    </w:p>
    <w:p>
      <w:r>
        <w:t>Le recourant soutient que la cour cantonale a établi les faits de manière manifestement inexacte en ce qui concerne ses antécédents judiciaires à l'étranger. Se fondant sur le rapport de police du 28 novembre 2008, elle aurait retenu à tort qu'il a été condamné à deux reprises en Autriche pour trafic de stupéfiants.</w:t>
      </w:r>
    </w:p>
    <w:p>
      <w:r>
        <w:rPr>
          <w:b/>
        </w:rPr>
        <w:t>E. 1.1</w:t>
      </w:r>
    </w:p>
    <w:p>
      <w:r>
        <w:t>Le Tribunal fédéral est un juge du droit. Il ne peut revoir les faits établis par l'autorité précédente que s'ils l'ont été de manière manifestement inexacte ( art. 97 al. 1 LTF ), c'est-à-dire arbitraire. On peut renvoyer, sur la notion d'arbitraire, aux principes maintes fois exposés par le Tribunal fédéral (voir par ex: ATF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En l'espèce, le rapport de police constate que "le 02.09.2008, nous avons communiqué aux polices cantonales, à la police judiciaire fédérale ainsi qu'aux principales antennes d'Interpol en Europe les éléments a priori exploitables de cette affaire. (....). Ces recherches ont permis d'établir que X.________ avait usé de l'alias d'un certain Z.________, 09.09.1980. Cet individu avait été condamné à deux occasions en Autriche pour du trafic de produits stupéfiants et dès lors interdit de séjour dans ce pays". Un rapport de police constitue une preuve, soumise à la libre appréciation du juge. Le rapport de police en question mentionne clairement que les investigations internationales ont permis d'établir que le recourant avait été condamné à deux reprises en Autriche pour trafic de stupéfiants. En se fondant sur ce rapport pour retenir des antécédents judiciaires à l'étranger, la cour cantonale n'est donc pas tombée dans l'arbitraire. Mal fondé, le grief doit être rejeté.</w:t>
      </w:r>
    </w:p>
    <w:p>
      <w:r>
        <w:rPr>
          <w:b/>
        </w:rPr>
        <w:t>E. 2</w:t>
      </w:r>
    </w:p>
    <w:p>
      <w:r>
        <w:t>Condamné à une peine privative de liberté de quarante huit mois, le recourant critique la sévérité de celle-ci.</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 art. 19 ch. 2 let. a LStup ( ATF 122 IV 299 consid. 2c p. 302 s.;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(cf. arrêt du Tribunal fédéral 6S.21/2002 du 17 avril 2002, consid. 2c).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2.2</w:t>
      </w:r>
    </w:p>
    <w:p>
      <w:r>
        <w:t>Le recourant reproche à la cour cantonale d'avoir admis qu'il jouait un rôle important dans le trafic en question. La cour cantonale constate que le recourant a eu de très nombreux contacts téléphoniques avec deux fournisseurs hollandais ainsi qu'avec son acquéreur Y.________. Cela montre qu'il jouissait d'une marge de manoeuvre et de responsabilités qui excédaient celles d'un transporteur ou d'un simple dealer. Dans ces circonstances, on ne saurait critiquer les juges cantonaux d'avoir admis que le recourant jouait un rôle important au sein du trafic de drogue.</w:t>
      </w:r>
    </w:p>
    <w:p>
      <w:r>
        <w:rPr>
          <w:b/>
        </w:rPr>
        <w:t>E. 2.3</w:t>
      </w:r>
    </w:p>
    <w:p>
      <w:r>
        <w:t>Le recourant fait grief à la cour cantonale d'avoir retenu qu'il s'était montré peu collaborant et n'avait pas cessé de minimiser ses agissements. Comme le relève à juste titre les juges cantonaux, le fait que le recourant a reconnu, immédiatement après son arrestation, un trafic portant sur une quantité de drogue n'exclut pas une attitude, de manière générale, peu collaborante. Ainsi, le recourant n'a pas donné des chiffres plausibles sur le chiffre d'affaires et le bénéfice qu'il a tirés de son trafic (jugement de première instance p. 7) et a fourni des explications peu crédibles sur les motifs qui l'avaient poussé à participer à ce trafic de stupéfiants, déclarant qu'il avait été contraint de soutenir sa nombreuse famille africaine (jugement de première instance p. 7).</w:t>
      </w:r>
    </w:p>
    <w:p>
      <w:r>
        <w:rPr>
          <w:b/>
        </w:rPr>
        <w:t>E. 2.4</w:t>
      </w:r>
    </w:p>
    <w:p>
      <w:r>
        <w:t>Le recourant se plaint que la cour cantonale n'a pas retenu à sa décharge une prise de conscience. Comme vu ci-dessus, le recourant a montré une attitude peu collaborante. Dans ces circonstances, on ne saurait reprocher à la cour cantonale d'avoir retenu qu'il n'avait fait preuve d'aucune prise de conscience.</w:t>
      </w:r>
    </w:p>
    <w:p>
      <w:r>
        <w:rPr>
          <w:b/>
        </w:rPr>
        <w:t>E. 2.5</w:t>
      </w:r>
    </w:p>
    <w:p>
      <w:r>
        <w:t>Le recourant reproche à la cour cantonale d'avoir rejeté sa version, selon laquelle il aurait agi dans le seul but de soutenir sa famille en Afrique, ce qui constituerait une circonstance atténuante. Savoir si - comme le prétend le recourant - il a versé à ses proches le bénéfice de son trafic est une question de fait. Comme vu au considérant 1, la cour de céans est liée par l'état de fait cantonal, à moins que celui-ci ne soit entaché d'arbitraire (art. 105 al. 1 ; 97 al. 1 LTF ). La cour cantonale a considéré la version du recourant comme non crédible, expliquant en particulier que les enquêteurs avaient retrouvé d'importantes sommes à son domicile (arrêt attaqué p. 10). Dans son recours, le recourant se contente de répéter sa version, sans montrer en quoi la cour cantonale serait tombée dans l'arbitraire en la rejetant. De nature appellatoire, le grief soulevé est irrecevable.</w:t>
      </w:r>
    </w:p>
    <w:p>
      <w:r>
        <w:rPr>
          <w:b/>
        </w:rPr>
        <w:t>E. 3</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le comportement du recourant réalise la circonstance aggravante prévue à la lettre a de l' art. 19 ch. 2 LStup . Le recourant jouait un rôle important au sein de l'organisation, ayant des contacts directs avec un fournisseur étranger. Son activité délictueuse, qui n'a cessé qu'avec son arrestation, a porté sur 415,48 g. de cocaïne pure. N'étant pas lui-même toxicomane, il a agi par appât du gain. Lors de l'enquête et du procès, il n'a manifesté aucune prise de conscience. Dans ces circonstances, la faute du recourant ne peut qu'être qualifiée de grave. La peine privative de liberté de quatre ans n'apparaît dès lors pas sévère, de sorte qu'il faille conclure à un abus du large pouvoir d'appréciation accordé à la cour cantonale. Le grief tiré de la violation de l' art. 47 CP doit être rejeté.</w:t>
      </w:r>
    </w:p>
    <w:p>
      <w:r>
        <w:rPr>
          <w:b/>
        </w:rPr>
        <w:t>E. 4</w:t>
      </w:r>
    </w:p>
    <w:p>
      <w:r>
        <w:t>Dans le mesure où la peine prononcée dépasse 24, resp. 36 mois (cf. art. 42 al. 1 et 43 al. 1 CP), les conclusions du recourant tendant au prononcé d'un sursis ou d'un sursis partiel doivent être rejetées.</w:t>
      </w:r>
    </w:p>
    <w:p>
      <w:r>
        <w:rPr>
          <w:b/>
        </w:rPr>
        <w:t>E. 5</w:t>
      </w:r>
    </w:p>
    <w:p>
      <w:r>
        <w:t>Le recours doit être rejeté dans la mesure où il est recevable.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