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6B_268/2019 vom 16. Januar 2020</w:t>
      </w:r>
    </w:p>
    <w:p>
      <w:r>
        <w:t>Bundesgericht, 2020-01-16, DE</w:t>
      </w:r>
    </w:p>
    <w:p>
      <w:r>
        <w:rPr>
          <w:b/>
        </w:rPr>
        <w:t xml:space="preserve">Quelle: </w:t>
      </w:r>
      <w:r>
        <w:t>https://mcp.opencaselaw.ch/entscheid/bger_6B_268_2019</w:t>
      </w:r>
    </w:p>
    <w:p>
      <w:r>
        <w:t>FR: TF 6B_268/2019 du 16 janvier 2020</w:t>
      </w:r>
    </w:p>
    <w:p>
      <w:r>
        <w:t>IT: TF 6B_268/2019 del 16 gennaio 2020</w:t>
      </w:r>
    </w:p>
    <w:p>
      <w:pPr>
        <w:pStyle w:val="Heading2"/>
      </w:pPr>
      <w:r>
        <w:t>Erwägungen</w:t>
      </w:r>
    </w:p>
    <w:p>
      <w:r>
        <w:rPr>
          <w:b/>
        </w:rPr>
        <w:t>E. 1.1</w:t>
      </w:r>
    </w:p>
    <w:p>
      <w:r>
        <w:t>Die Beschwerdeführerin rügt, die Vorinstanz verletze Art. 43, 47 und 49 StGB , indem sie die Freiheitsstrafe zu tief bemesse und hierfür den teilbedingten Strafvollzug gewähre.</w:t>
      </w:r>
    </w:p>
    <w:p>
      <w:r>
        <w:rPr>
          <w:b/>
        </w:rPr>
        <w:t>E. 1.2</w:t>
      </w:r>
    </w:p>
    <w:p>
      <w:r>
        <w:t>Die Vorinstanz erachtet für den gewerbsmässigen Betrug, die mehrfache Urkundenfälschung, die Misswirtschaft und die Unterlassung der Buchführung Freiheitsstrafen als angemessen. Sie stellt fest, dass der Beschwerdegegner diese Delikte vor dem Urteil des Bezirksgerichts Dietikon vom 21. September 2011 beging, weshalb hierzu eine Zusatzstrafe zu ergehen habe. Die Vorinstanz geht vom gewerbsmässigen Betrug als insgesamt schwerstes Delikt aus und setzt aufgrund der objektiven Tatschwere eine hypothetische Einsatzstrafe von 42 Monaten fest. Die subjektive Tatschwere bewertet sie als neutral. Hinsichtlich der mehrfachen Urkundenfälschung erwägt sie, deren Bestrafung gehe de facto in der Strafe des gewerbsmässigen Betrugs auf. Die hypothetische Einsatzstrafe erhöht sie für die bereits mit Urteil des Bezirksgerichts Dietikon vom 21. September 2011 beurteilten Delikte um 30 Monate und für die Misswirtschaft sowie die Unterlassung der Buchführung um vier Monate. Aufgrund der Täterkomponenten erhöht sie die Strafe nochmals leicht. Abschliessend hält die Vorinstanz fest, insgesamt erweise sich, unter Berücksichtigung des Umstands, dass bei einer Freiheitsstrafe von drei Jahren der teilbedingte Strafvollzug noch möglich sei, eine Freiheitsstrafe von drei Jahren als Zusatzstrafe zum Urteil des Bezirksgerichts Dietikon vom 21. September 2011 (Freiheitsstrafe von drei Jahren und drei Monaten, welche in Abzug zu bringen sei) als angemessen. Ferner gewährt sie dem Beschwerdegegner den teilbedingten Strafvollzug und setzt den aufzuschiebenden sowie den zu vollziehenden Teil auf je 18 Monate fest (Urteil S. 34 ff.).</w:t>
      </w:r>
    </w:p>
    <w:p>
      <w:r>
        <w:rPr>
          <w:b/>
        </w:rPr>
        <w:t>E. 1.3</w:t>
      </w:r>
    </w:p>
    <w:p>
      <w:r>
        <w:t>Es kann vorliegend offenbleiben, ob die vorinstanzliche Strafzumessung den von Gesetz und Rechtsprechung vorgegebenen Begründungsanforderungen genügt (vgl. Art. 50 StGB ; BGE 142 IV 265 E. 2.3.3 S. 268, E. 2.4.3 S. 270 f. mit Hinweisen). Obwohl die Vorinstanz die von ihr festgesetzte hypothetische Gesamtstrafe nicht explizit nennt, ergibt sich aus ihrer Begründung, dass sie grundsätzlich etwas mehr als 76 Monate festsetzen würde, sie jedoch in Berücksichtigung des Grenzwerts für den teilbedingten Vollzug 75 Monate als angemessen erachtet. Indem sie den Grenzwert für den teilbedingten Strafvollzug bei der Strafzumessung berücksichtigt und für die Zusatzstrafe von drei Jahren den teilbedingten Vollzug gewährt, verkennt die Vorinstanz, dass bei retrospektiver Konkurrenz die hypothetische Gesamtstrafe die Vollzugsform der Zusatzstrafe bestimmt ( BGE 142 IV 265 E. 2.4.6 S. 273 mit Hinweisen). Übersteigt die hypothetische Gesamtstrafe drei Jahre, gelangt Art. 43 StGB nicht zur Anwendung und die Zusatzstrafe kann nicht teilbedingt ausgesprochen werden (vgl. Urteil 6B_165/2011 vom 19. Juli 2011 E. 2.2.3). Bei einer hypothetischen Gesamtstrafe von 75 respektive etwas mehr als 76 Monaten ist der teilbedingte Strafvollzug ausgeschlossen. Wie die Beschwerdeführerin zutreffend einwendet, stellt sich damit die Frage nicht, ob eine Sanktion, welche die Grenze von drei Jahren nicht überschreitet, noch im Ermessensspielraum liegt (vgl. BGE 134 IV 17 E. 3.6 S. 25). Damit berücksichtigt die Vorinstanz ein rechtlich nicht massgebendes Kriterium. Sie muss die Strafzumessung neu vornehmen und begründen. Da ihr hierbei ein grosses Ermessen zukommt, hat vorliegend kein reformatorischer Entscheid zu ergehen (vgl. BGE 144 IV 313 E. 1.2 S. 319; 136 IV 55 E. 5.6 S. 61; je mit Hinweis).</w:t>
      </w:r>
    </w:p>
    <w:p>
      <w:r>
        <w:rPr>
          <w:b/>
        </w:rPr>
        <w:t>E. 2</w:t>
      </w:r>
    </w:p>
    <w:p>
      <w:r>
        <w:t>Die Beschwerde ist im Verfahren nach Art. 109 BGG gutzuheissen, die Dispositiv-Ziffern 6 und 7 des obergerichtlichen Urteils sind aufzuheben und die Sache ist zur neuen Strafzumessung an die Vorinstanz zurückzuweisen.</w:t>
      </w:r>
    </w:p>
    <w:p>
      <w:r>
        <w:t>Dem Beschwerdegegner wurde mit Verfügung vom 10. Oktober 2019 die unentgeltliche Rechtspflege und Verbeiständung gewährt. Ihm sind daher keine Gerichtskosten aufzuerlegen und sein Rechtsvertreter ist für seine Aufwendungen im bundesgerichtlichen 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