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6B_268/2011 vom 19. Juli 2011</w:t>
      </w:r>
    </w:p>
    <w:p>
      <w:r>
        <w:t>Bundesgericht, 2011-07-19, FR</w:t>
      </w:r>
    </w:p>
    <w:p>
      <w:r>
        <w:rPr>
          <w:b/>
        </w:rPr>
        <w:t xml:space="preserve">Quelle: </w:t>
      </w:r>
      <w:r>
        <w:t>https://mcp.opencaselaw.ch/entscheid/bger_6B_268_2011</w:t>
      </w:r>
    </w:p>
    <w:p>
      <w:r>
        <w:t>FR: TF 6B_268/2011 du 19 juillet 2011</w:t>
      </w:r>
    </w:p>
    <w:p>
      <w:r>
        <w:t>IT: TF 6B_268/2011 del 19 luglio 2011</w:t>
      </w:r>
    </w:p>
    <w:p>
      <w:pPr>
        <w:pStyle w:val="Heading2"/>
      </w:pPr>
      <w:r>
        <w:t>Erwägungen</w:t>
      </w:r>
    </w:p>
    <w:p>
      <w:r>
        <w:rPr>
          <w:b/>
        </w:rPr>
        <w:t>E. 1</w:t>
      </w:r>
    </w:p>
    <w:p>
      <w:r>
        <w:t>Le recourant se plaint d'une violation de l' art. 6 CEDH . Il relève que, selon les deux certificats médicaux produits, son état de santé ne lui permettait pas d'assister à l'audience de reprise de cause et qu'il aurait dû être autorisé à se faire représenter par son avocat.</w:t>
      </w:r>
    </w:p>
    <w:p>
      <w:r>
        <w:rPr>
          <w:b/>
        </w:rPr>
        <w:t>E. 1.1</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1er mars 2006, Recueil CourEDH 2006-II p. 201 § 81 s. et les arrêts cités).</w:t>
      </w:r>
    </w:p>
    <w:p>
      <w:r>
        <w:t>Ce principe supporte cependant quelques atténuations. D'abord, la Cour européenne reconnaît que, devant les juridictions supérieures, la comparution de l'accusé ne revêt pas nécessairement la même importance qu'en première instance (cf. arrêt de la CourEDH Kamasinski c. Autriche du 19 décembre 1989, série A vol. 168 § 1060).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 6B_860/2008 du 10 juillet 2009 consid. 4.1).</w:t>
      </w:r>
    </w:p>
    <w:p>
      <w:r>
        <w:rPr>
          <w:b/>
        </w:rPr>
        <w:t>E. 1.2</w:t>
      </w:r>
    </w:p>
    <w:p>
      <w:r>
        <w:t>En l'espèce, s'agissant de la première condition précitée, il n'est pas contesté que le recourant a été informé de la procédure pénale dirigée contre lui et qu'il a valablement été cité à comparaître.</w:t>
      </w:r>
    </w:p>
    <w:p>
      <w:r>
        <w:rPr>
          <w:b/>
        </w:rPr>
        <w:t>E. 1.3</w:t>
      </w:r>
    </w:p>
    <w:p>
      <w:r>
        <w:t>Pour ce qui concerne la deuxième condition, le recourant a été assisté d'un avocat d'office dans la première phase des débats ayant conduit au jugement par défaut du 7 novembre 2008. Son avocat a été dispensé de la suite des débats après qu'une suspension de ceux-ci pour permettre la mise en ?uvre d'une expertise financière lui eut été refusée (cf. jugement du 7 novembre 2008 p. 7). On peut se demander si l'assistance d'un avocat a suffisamment été garantie au recourant dans la procédure par défaut. On peut en particulier en douter au regard de la teneur de l'art. 398 al. 1 de l'ancien code de procédure pénale vaudois du 12 septembre 1967 (CPP/VD; RS/VD 312.0), qui exclut les plaidoiries dans une procédure par défaut. Cette disposition n'apparaît pas compatible avec l' art. 6 CEDH qui garantit l'assistance d'un avocat aussi pour une procédure par défaut. La question peut rester ouverte en l'occurrence dès lors que le recours doit de toute façon être admis car la troisième condition nécessaire pour refuser à un défaillant la possibilité d'être jugé en contradictoire n'est pas réalisée (cf. infra, consid. 1.4).</w:t>
      </w:r>
    </w:p>
    <w:p>
      <w:r>
        <w:rPr>
          <w:b/>
        </w:rPr>
        <w:t>E. 1.4.1</w:t>
      </w:r>
    </w:p>
    <w:p>
      <w:r>
        <w:t>Cette troisième condition se rapporte à l'existence d'une excuse valable pour justifier du défaut à l'audience de reprise de cause. A l'appui de sa requête de second relief, le recourant s'est prévalu de deux certificats médicaux des 15 octobre et 4 novembre 2010. La cour cantonale a analysé le contenu de ces pièces et est parvenue à la conclusion qu'elles n'établissaient pas que le déplacement en Suisse du recourant était exagérément risqué pour la santé de celui-ci. Elle a ainsi exclu que le recourant se soit trouvé dans un cas de force majeure l'empêchant de se rendre à son procès (cf. arrêt cantonal p. 8).</w:t>
      </w:r>
    </w:p>
    <w:p>
      <w:r>
        <w:rPr>
          <w:b/>
        </w:rPr>
        <w:t>E. 1.4.2</w:t>
      </w:r>
    </w:p>
    <w:p>
      <w:r>
        <w:t>Au regard de la jurisprudence précitée (supra, consid. 1.1 in fine), l'appréciation de la cour cantonale se limitant à examiner, en application de l' art. 407 al. 1 CPP /VD, si un cas de force majeure était ou non prouvé apparaît trop restrictive. Il s'agissait bien plutôt de déterminer s'il existait une excuse valable.</w:t>
      </w:r>
    </w:p>
    <w:p>
      <w:r>
        <w:t>Cela étant, en considérant que les certificats médicaux ne permettaient pas de retenir que le recourant aurait couru un risque pour sa santé en se déplaçant en Suisse pour participer à l'audience de reprise de cause, la cour cantonale a posé une constatation de fait fondée sur une appréciation des preuves à disposition.</w:t>
      </w:r>
    </w:p>
    <w:p>
      <w:r>
        <w:rPr>
          <w:b/>
        </w:rPr>
        <w:t>E. 1.4.3</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selon l' art. 9 Cst. ( ATF 133 II 249 consid. 1.1.2 p. 252; 137 I 58 consid. 4.1.2), ou établies en violation du droit ( art. 105 al. 2 LTF ). La partie recourante est autorisée à attaquer des constatations de fait ainsi irrégulières si la correction du vice est susceptible d'influer sur le sort de la cause ( art. 97 al. 1 LTF ). Lorsque de tels griefs sont soulevés, l' art. 106 al. 2 LTF prévoit pour la motivation du recours des exigences qualifiées. La partie recourante doit ainsi indiquer, dans l'acte de recours lui-même, quel droit constitutionnel aurait été violé et montrer, par une argumentation circonstanciée, en quoi consiste sa violation ( ATF 133 II 249 consid. 1.4.2 p. 254; 136 I 65 consid. 1.3.1).</w:t>
      </w:r>
    </w:p>
    <w:p>
      <w:r>
        <w:rPr>
          <w:b/>
        </w:rPr>
        <w:t>E. 1.4.4</w:t>
      </w:r>
    </w:p>
    <w:p>
      <w:r>
        <w:t>Dans son mémoire, le recourant reprend le contenu des certificats médicaux et conteste l'interprétation qu'en a donnée la cour cantonale. Autrement dit, il s'en prend à l'appréciation des preuves, que le Tribunal fédéral ne revoit que sous l'angle restreint de l'arbitraire.</w:t>
      </w:r>
    </w:p>
    <w:p>
      <w:r>
        <w:t>Analysant les certificats médicaux produits, la cour cantonale a exposé que le médecin du recourant lui aurait simplement recommandé de ne pas voyager mais ne l'aurait pas "enjoint de s'abstenir"; elle a conclu que les certificats n'établissaient pas qu'il était "exagérément risqué" pour le recourant de faire le déplacement (cf. arrêt cantonal p. 7-8). Or, selon le certificat du 15 octobre 2010, le recourant souffre de problèmes psychiatriques et il est très peu souhaitable qu'il se rende en Suisse car le motif du séjour est très stressant et anxiogène. Le médecin relève que le recourant n'est pas capable de voyager en Suisse et qu'il lui a conseillé de ne pas le faire. Le certificat du 4 novembre 2010 mentionne qu'un voyage en Suisse impliquerait un grand risque que l'état du recourant se détériore. Au vu du contenu des certificats médicaux, l'appréciation de la cour cantonale apparaît insoutenable. Il ressort clairement de ces pièces que le recourant n'est pas capable de voyager et qu'un grand risque de détérioration de son état de santé existe. L'interprétation minimaliste et dépourvue de justification de la cour cantonale apparaît arbitraire. Sur la base des certificats médicaux, il faut admettre que le recourant disposait d'une excuse valable pour justifier son absence à l'audience de reprise de cause. On ne saurait non plus lui imputer un quelconque abus de droit puisqu'il a requis de pouvoir être représenté par son avocat ( art. 397 CPP /VD), ce qui lui a été refusé. Il s'ensuit que la solution de cour cantonale viole l' art. 6 CEDH . Le recours doit être admis, l'arrêt attaqué annulé et la cause renvoyée à l'autorité cantonale pour reprise de la procédure.</w:t>
      </w:r>
    </w:p>
    <w:p>
      <w:r>
        <w:rPr>
          <w:b/>
        </w:rPr>
        <w:t>E. 2</w:t>
      </w:r>
    </w:p>
    <w:p>
      <w:r>
        <w:t>Vu l'issue de la procédure, il ne sera pas perçu de frais ( art. 66 al. 4 LTF ) et le canton de Vaud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