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6B_267/2021 vom 18. Mai 2022</w:t>
      </w:r>
    </w:p>
    <w:p>
      <w:r>
        <w:t>Bundesgericht, 2022-05-18, DE</w:t>
      </w:r>
    </w:p>
    <w:p>
      <w:r>
        <w:rPr>
          <w:b/>
        </w:rPr>
        <w:t xml:space="preserve">Quelle: </w:t>
      </w:r>
      <w:r>
        <w:t>https://mcp.opencaselaw.ch/entscheid/bger_6B_267_2021</w:t>
      </w:r>
    </w:p>
    <w:p>
      <w:r>
        <w:t>FR: TF 6B_267/2021 du 18 mai 2022</w:t>
      </w:r>
    </w:p>
    <w:p>
      <w:r>
        <w:t>IT: TF 6B_267/2021 del 18 maggio 2022</w:t>
      </w:r>
    </w:p>
    <w:p>
      <w:pPr>
        <w:pStyle w:val="Heading2"/>
      </w:pPr>
      <w:r>
        <w:t>Erwägungen</w:t>
      </w:r>
    </w:p>
    <w:p>
      <w:r>
        <w:rPr>
          <w:b/>
        </w:rPr>
        <w:t>E. 1.1</w:t>
      </w:r>
    </w:p>
    <w:p>
      <w:r>
        <w:t>Der Beschwerdeführer bestreitet nicht, mit dem Beschwerdegegner 2 über längere Zeit eine sexuelle Beziehung geführt zu haben. Er macht jedoch geltend, diese habe erst nach dem 16. Geburtstag des Beschwerdegegners 2, mithin erst nach dem 21. Dezember 2016 begonnen. Er rügt somit sinngemäss eine bundesrechtswidrige Sachverhaltsfeststellung durch die Vorinstanz; insbesondere macht er in diesem Zusammenhang geltend, die Vorinstanz habe dem Umstand, dass der Vater des Beschwerdegegners 2 den Zeugen C.________ zu beeinflussen versucht habe, zu wenig Beachtung geschenkt.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w:t>
      </w:r>
    </w:p>
    <w:p>
      <w:r>
        <w:t>Wer mit einem Kind unter 16 Jahren eine sexuelle Handlung vornimmt, es zu einer solchen Handlung verleitet oder es in eine sexuelle Handlung einbezieht, wird nach Art. 187 Ziff. 1 StGB mit Freiheitsstrafe bis zu fünf Jahren oder Geldstrafe bestraft.</w:t>
      </w:r>
    </w:p>
    <w:p>
      <w:r>
        <w:rPr>
          <w:b/>
        </w:rPr>
        <w:t>E. 3.1</w:t>
      </w:r>
    </w:p>
    <w:p>
      <w:r>
        <w:t>Es steht fest und ist unbestritten, dass der Beschwerdeführer und der Beschwerdegegner 2 über längere Zeit eine sexuelle Beziehung führten. Die Vorinstanz stellte für das Bundesgericht grundsätzlich verbindlich fest, dass es bereits ab Frühjahr 2016 zu sexuellen Handlungen zwischen dem Beschwerdeführer und dem Beschwerdegegner 2 kam. Dabei stützte sie sich im Wesentlichen auf die als glaubwürdig erachteten Aussagen des Beschwerdegegners 2. Dieser sagte unter anderm aus, die sexuellen Handlungen hätten begonnen, als er noch in die Schule D.________ ging und er habe sich in einem Sommerlager in den USA im Sommer 2016 überlegt, ob er bei einer Gesprächsrunde über bisher nicht Preisgegebenes, Peinliches etc. dieser Handlungen berichten soll. Den Hinweisen auf eine mögliche (versuchte) Beeinflussung des Zeugen C.________ durch den Vater des Beschwerdegegners 2 ging die Vorinstanz nicht weiter nach, da dieser Zeuge nichts den Beschuldigten Belastendes ausgesagt habe.</w:t>
      </w:r>
    </w:p>
    <w:p>
      <w:r>
        <w:rPr>
          <w:b/>
        </w:rPr>
        <w:t>E. 3.2</w:t>
      </w:r>
    </w:p>
    <w:p>
      <w:r>
        <w:t>Beim Zeugen C.________ handelt es sich um einen weiteren Jugendlichen, der ebenfalls eine sexuelle Beziehung mit dem Beschwerdeführer geführt hat. Befragt als mögliches Opfer, gab dieser Zeuge jedoch an, alle sexuellen Handlungen hätten erst nach seinem 16. Geburtstag stattgefunden. Damit waren diese Handlungen nicht nach Art. 187 Ziff. 1 StGB strafbar. Zum vorliegend angeklagten Sachverhalt machte der Zeuge keine Angaben. Die Vorinstanz stützte sich bei ihrer Feststellung, die sexuelle Beziehung zwischen dem Beschwerdeführer und dem Beschwerdegegner 2 habe bereits vor dessen sechzehnten Geburtstag begonnen, nicht auf die Aussagen dieses Zeugens. Wie die Vorinstanz zutreffend erwogen hat, könnte der Beschwerdeführer daher aus einer möglichen (versuchten) Beeinflussung dieses Zeugens durch den Vater des Beschwerdegegners 2 nichts zu seinen Gunsten ableiten. Insbesondere vermöchte auch eine solche versuchte Beeinflussung des Zeugens die Glaubwürdigkeit des Beschwerdegegners 2, welcher zum Zeitpunkt seiner Einvernahme bereits volljährig war, nicht zu erschüttern. Damit hat die Vorinstanz nicht gegen Bundesrecht verstossen, als es von Weiterungen zur Frage, ob diese versuchte Beeinflussung des Zeugen stattgefunden hat, verzichtete. Damit kann vorliegend die Frage offen bleiben, ob und wie weit die diesbezüglichen Vorbringen des Beschwerdeführers mit Blick auf Art. 99 BGG überhaupt zulässig sind. Andere Argumente für eine Bundesrechtswidrigkeit der vorinstanzlichen Sachverhaltsfestellungen bringt der Beschwerdeführer nicht vor.</w:t>
      </w:r>
    </w:p>
    <w:p>
      <w:r>
        <w:rPr>
          <w:b/>
        </w:rPr>
        <w:t>E. 4</w:t>
      </w:r>
    </w:p>
    <w:p>
      <w:r>
        <w:t>Durfte die Vorinstanz demnach - ohne damit gegen Bundesrecht zu verstossen - von einem Beginn der sexuellen Handlungen im Frühjahr 2016 ausgehen, so ist weder die Verurteilung des Beschwerdeführers zu einer Freiheitsstrafe von 24 Monaten noch die dem Beschwerdegegner 2 zugesprochene Genugtuung zu beanstanden. Einem Genugtuungsanspruch des Beschwerdeführers gegen den Beschwerdegegner 2 ist somit die Grundlage entzogen. Entsprechend ist die Beschwerde vollumfänglich abzuweisen.</w:t>
      </w:r>
    </w:p>
    <w:p>
      <w:r>
        <w:rPr>
          <w:b/>
        </w:rPr>
        <w:t>E. 5</w:t>
      </w:r>
    </w:p>
    <w:p>
      <w:r>
        <w:t>Entsprechend dem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r>
        <w:t>Dem Beschwerdegegner 2 ist keine Entschädigung zuzusprechen, da er im bundesgerichtlichen Verfahren in der Sache nicht zur Stellungnahme aufgefordert wurde, ihm insoweit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