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266/2014 vom 10. April 2014</w:t>
      </w:r>
    </w:p>
    <w:p>
      <w:r>
        <w:t>Bundesgericht, 2014-04-10, FR</w:t>
      </w:r>
    </w:p>
    <w:p>
      <w:r>
        <w:rPr>
          <w:b/>
        </w:rPr>
        <w:t xml:space="preserve">Quelle: </w:t>
      </w:r>
      <w:r>
        <w:t>https://mcp.opencaselaw.ch/entscheid/bger_6B_266_2014</w:t>
      </w:r>
    </w:p>
    <w:p>
      <w:r>
        <w:t>FR: TF 6B 266/2014 du 10 avril 2014</w:t>
      </w:r>
    </w:p>
    <w:p>
      <w:r>
        <w:t>IT: TF 6B 266/2014 del 10 aprile 2014</w:t>
      </w:r>
    </w:p>
    <w:p>
      <w:pPr>
        <w:pStyle w:val="Heading2"/>
      </w:pPr>
      <w:r>
        <w:t>Regeste</w:t>
      </w:r>
    </w:p>
    <w:p>
      <w:r>
        <w:t>Ordonnance de non-entrée en matière, qualité pour recourir | Procédure pénale</w:t>
      </w:r>
    </w:p>
    <w:p>
      <w:pPr>
        <w:pStyle w:val="Heading2"/>
      </w:pPr>
      <w:r>
        <w:t>Erwägungen</w:t>
      </w:r>
    </w:p>
    <w:p>
      <w:r>
        <w:rPr>
          <w:b/>
        </w:rPr>
        <w:t>E. 1</w:t>
      </w:r>
    </w:p>
    <w:p>
      <w:r>
        <w:t>Par arrêt du 27 février 2014, la Chambre des recours pénale du Tribunal cantonal vaudois a rejeté le recours de A.________ et confirmé l'ordonnance de non-entrée en matière rendue le 18 février 2014 sur sa plainte pour chantage à l'encontre de l'un des membres du personnel de l'établissement pénitentiaire de X.________. A.________ interjette un recours en matière pénale, ainsi qu'un recours constitutionnel subsidiaire au Tribunal fédéral contre l'arrêt cantonal.</w:t>
      </w:r>
    </w:p>
    <w:p>
      <w:r>
        <w:rPr>
          <w:b/>
        </w:rPr>
        <w:t>E. 2.1</w:t>
      </w:r>
    </w:p>
    <w:p>
      <w:r>
        <w:t>Le Tribunal fédéral examine librement et d'office les conditions de recevabilité des recours qui lui sont soumis ( ATF 138 III 46 consid. 1 p. 46).</w:t>
      </w:r>
    </w:p>
    <w:p>
      <w:r>
        <w:rPr>
          <w:b/>
        </w:rPr>
        <w:t>E. 2.2</w:t>
      </w:r>
    </w:p>
    <w:p>
      <w:r>
        <w:t>L'arrêt attaqué a été rendu en dernière instance cantonale dans une cause de droit pénal. Il peut donc faire l'objet d'un recours en matière pénale au sens des art. 78 ss LTF , de sorte que le recours constitutionnel subsidiaire est exclu ( art. 113 LTF ) et sera traité comme un recours en matière pénale ( ATF 131 I 291 consid. 1.3 p. 296; 126 II 506 consid. 1b p. 509 et les arrêts cités; voir également art. 113 LTF ).</w:t>
      </w:r>
    </w:p>
    <w:p>
      <w:r>
        <w:rPr>
          <w:b/>
        </w:rPr>
        <w:t>E. 2.3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 ATF 133 II 353 consid. 1 p. 356).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les déduire directement et sans ambiguïté compte tenu notamment de la nature de l'infraction alléguée ( ATF 137 IV 219 consid. 2.4 p. 222 s.). Le recourant, qui ne s'exprime aucunement sur ce point, ne permet pas de saisir sans ambiguïté quelles prétentions civiles pourraient être élevées. Il n'explique pas en quoi résiderait son dommage ou le préjudice moral subi, pas plus que son importance. Or, l'allocation d'une indemnité pour tort moral fondée sur l' art. 49 al. 1 CO suppose que l'atteinte ait une certaine gravité objective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L'absence de toute explication, dans la configuration d'espèce, suffit pour exclure la qualité de l'intéressé pour recourir sur le fond de la cause.</w:t>
      </w:r>
    </w:p>
    <w:p>
      <w:r>
        <w:rPr>
          <w:b/>
        </w:rPr>
        <w:t>E. 2.4</w:t>
      </w:r>
    </w:p>
    <w:p>
      <w:r>
        <w:t>Par ailleurs, l'hypothèse visée à l'art. 81 al. 1 let. b ch. 6 LTF n'entre pas en considération, la contestation ne portant pas sur le droit de porter plainte du recourant.</w:t>
      </w:r>
    </w:p>
    <w:p>
      <w:r>
        <w:rPr>
          <w:b/>
        </w:rPr>
        <w:t>E. 2.5</w:t>
      </w:r>
    </w:p>
    <w:p>
      <w:r>
        <w:t>Enfin, dans la mesure où ce dernier critique l'instruction de la cause, il invoque la violation de ses droits de partie d'une manière qui tend à mettre en cause le fond du dossier et qui, partant, ne saurait fonder sa qualité pour recourir ( ATF 136 IV 29 consid. 1.9 et les réf. cit.).</w:t>
      </w:r>
    </w:p>
    <w:p>
      <w:r>
        <w:rPr>
          <w:b/>
        </w:rPr>
        <w:t>E. 2.6</w:t>
      </w:r>
    </w:p>
    <w:p>
      <w:r>
        <w:t>Faute de légitimation active de l'intéressé, le recours est irrecevable et doit être écarté en application de l' art. 108 al. 1 let. a LTF .</w:t>
      </w:r>
    </w:p>
    <w:p>
      <w:r>
        <w:rPr>
          <w:b/>
        </w:rPr>
        <w:t>E. 3</w:t>
      </w:r>
    </w:p>
    <w:p>
      <w:r>
        <w:t>Exceptionnellement, le présent arrêt peut être rendu sans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