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263/2017 vom 29. Mai 2017</w:t>
      </w:r>
    </w:p>
    <w:p>
      <w:r>
        <w:t>Bundesgericht, 2017-05-29, DE</w:t>
      </w:r>
    </w:p>
    <w:p>
      <w:r>
        <w:rPr>
          <w:b/>
        </w:rPr>
        <w:t xml:space="preserve">Quelle: </w:t>
      </w:r>
      <w:r>
        <w:t>https://mcp.opencaselaw.ch/entscheid/bger_6B_263_2017</w:t>
      </w:r>
    </w:p>
    <w:p>
      <w:r>
        <w:t>FR: TF 6B 263/2017 du 29 mai 2017</w:t>
      </w:r>
    </w:p>
    <w:p>
      <w:r>
        <w:t>IT: TF 6B 263/2017 del 29 maggio 2017</w:t>
      </w:r>
    </w:p>
    <w:p>
      <w:pPr>
        <w:pStyle w:val="Heading2"/>
      </w:pPr>
      <w:r>
        <w:t>Regeste</w:t>
      </w:r>
    </w:p>
    <w:p>
      <w:r>
        <w:t>Verletzung der Verkehrsregeln; Rückzug der Berufung; Nichteintreten | Straftaten</w:t>
      </w:r>
    </w:p>
    <w:p>
      <w:pPr>
        <w:pStyle w:val="Heading2"/>
      </w:pPr>
      <w:r>
        <w:t>Erwägungen</w:t>
      </w:r>
    </w:p>
    <w:p>
      <w:r>
        <w:rPr>
          <w:b/>
        </w:rPr>
        <w:t>E. 1</w:t>
      </w:r>
    </w:p>
    <w:p>
      <w:r>
        <w:t>Die Partei, die das Bundesgericht anruft, hat einen Kostenvorschuss zu bezahlen ( Art. 62 Abs. 1 BGG ). Dem Beschwerdeführer wurden mit Verfügungen vom 7. April und 10. Mai 2017 eine Frist bis zum 3. Mai 2017 und die gesetzlich vorgeschriebene Nachfrist bis zum 22. Mai 2017 angesetzt, um dem Bundesgericht einen Kostenvorschuss von Fr. 800.--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