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6B_263/2012 vom 24. August 2012</w:t>
      </w:r>
    </w:p>
    <w:p>
      <w:r>
        <w:t>Bundesgericht, 2012-08-24, DE</w:t>
      </w:r>
    </w:p>
    <w:p>
      <w:r>
        <w:rPr>
          <w:b/>
        </w:rPr>
        <w:t xml:space="preserve">Quelle: </w:t>
      </w:r>
      <w:r>
        <w:t>https://mcp.opencaselaw.ch/entscheid/bger_6B_263_2012</w:t>
      </w:r>
    </w:p>
    <w:p>
      <w:r>
        <w:t>FR: TF 6B_263/2012 du 24 août 2012</w:t>
      </w:r>
    </w:p>
    <w:p>
      <w:r>
        <w:t>IT: TF 6B_263/2012 del 24 agosto 2012</w:t>
      </w:r>
    </w:p>
    <w:p>
      <w:pPr>
        <w:pStyle w:val="Heading2"/>
      </w:pPr>
      <w:r>
        <w:t>Erwägungen</w:t>
      </w:r>
    </w:p>
    <w:p>
      <w:r>
        <w:rPr>
          <w:b/>
        </w:rPr>
        <w:t>E. 1.1</w:t>
      </w:r>
    </w:p>
    <w:p>
      <w:r>
        <w:t>Der Beschwerdeführer rügt eine willkürliche Sachverhaltsfeststellung und eine Verletzung des Grundsatzes in dubio pro reo. Die Vorinstanz gehe ohne Beweise davon aus, die Beschwerdegegner 3 und 5 hätten die gleichen, angeblich täuschenden Unterlagen erhalten wie die drei anderen Aktionäre, obschon sie keine solchen Dokumente zu den Akten gereicht hätten. Er wendet sich zudem gegen die Feststellung, seine Geschäftsidee sei weder ernsthaft geplant noch realisierbar gewesen. Er habe durch zahlreiche Unterlagen belegt, dass unter seiner Geschäftsführung für die US F.________ Ltd. mit Sitz in London bereits ein sehr ähnliches Modell ausgearbeitet und sehr erfolgreich umgesetzt worden sei. Ihm könne nicht vorgeworfen werden, er habe mit dem Misserfolg des Geschäfts gerechnet und sich damit abgefunden. Vielmehr habe er darauf vertraut, dass der als möglich vorausgesehene Totalverlust nicht eintreten werde. Die Vorinstanz sei diesem entlastenden Umstand nicht nachgegangen. Angesichts der Beweislastregeln sei es nicht seine Aufgabe, rechtsgenügend aufzuzeigen, dass er bereits in der Vergangenheit mit demselben Geschäftskonzept erfolgreich gewesen sei.</w:t>
      </w:r>
    </w:p>
    <w:p>
      <w:r>
        <w:rPr>
          <w:b/>
        </w:rPr>
        <w:t>E. 1.2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1.3.1</w:t>
      </w:r>
    </w:p>
    <w:p>
      <w:r>
        <w:t>Die Vorinstanz gelangt zur Überzeugung, die Beschwerdegegner 3 und 5 hätten sich ihre Vorstellung über das Projekt "H.________/F.________" im Wesentlichen anhand der gleichen Unterlagen gebildet wie die anderen Anleger. Sie seien ebenfalls im Besitz des "Executive Summary Memorandums International Founder" (nachfolgend: Memorandum) gewesen, auch wenn sie dieses nicht zu den Akten gegeben hätten. Der Beschwerdeführer habe gegenüber der Eidg. Bankenkommission für die Werbeunterlagen auf den "Prospekt 2004" verwiesen, und er habe in dem zu den Akten gereichten "Ablauf Vertragsunterzeichnung H.________ Holding AG" festgehalten, die Kunden seien mit der "Infobroschüre" zu informieren. Klar sei, dass nicht jedem Interessenten individuelles Informationsmaterial zur Verfügung gestellt werden konnte, sondern alle mit dem gleichen "Prospekt 2004" bzw. der gleichen "Infobroschüre" bedient worden seien. Das einzige Dokument, das zu dieser Bezeichnung passe, sei das Memorandum. Die beiden alternativ in Betracht kommenden Prospekte seien mit dem Memorandum weitgehend und in den wesentlichen Punkten identisch. Nicht erkennbar sei, wie sich die Beschwerdegegner 3 und 5 zu einer Investition hätten entscheiden können, wenn ihnen das Memorandum nicht vorgelegen hätte. Der Beschwerdeführer habe, als es um die Täuschung aller fünf Anleger gegangen sei, im erstinstanzlichen Verfahren auf das Memorandum verwiesen. Er sei somit selber davon ausgegangen, er habe dieses den Beschwerdegegnern 3 und 5 ausgehändigt. Er habe auch an der Berufungsverhandlung geltend gemacht, der Wert der vom Beschwerdegegner 3 gekauften Aktien sei im Memorandum transparent gemacht worden (Urteil E. 4.5.2 S. 12 f.).</w:t>
      </w:r>
    </w:p>
    <w:p>
      <w:r>
        <w:t>Was an dieser Argumentation willkürlich sein soll, ist nicht ersichtlich. Der Beschwerdeführer stellt der vorinstanzlichen Beweiswürdigung lediglich seine eigene Sicht der Dinge gegenüber, ohne auf die Erwägungen des angefochtenen Entscheids einzugehen. Darauf ist nicht einzutreten.</w:t>
      </w:r>
    </w:p>
    <w:p>
      <w:r>
        <w:rPr>
          <w:b/>
        </w:rPr>
        <w:t>E. 1.3.2</w:t>
      </w:r>
    </w:p>
    <w:p>
      <w:r>
        <w:t>Was die Umsetzbarkeit des Geschäftsmodells anbelangt, so führt die Vorinstanz namentlich aus, selbst der Beschwerdeführer habe das Geschäft nicht nachvollziehbar erklären können. Seine Geschäftsidee sei nicht verständlich. Für das angebliche Geschäftskonzept wesentliche Vertragspunkte, insbesondere die Leitung des Projekts durch ein "erfahrenes Team" und das "Community-Management-System", hätten nicht der Wirklichkeit entsprochen (Urteil E. 4.5.4 S. 13 f.). Gegen den ernsthaften Geschäftswillen spreche, dass das behauptete erfolgreiche Direktmarketingkonzept mittels nicht kapitalisierter Gesellschaften ohne Betriebsstruktur hätte umgesetzt werden sollen. Der Beschwerdeführer habe für die Investorensuche bloss über einen Büroanteil bei einer Treuhandgesellschaft verfügt. Weitere Personen seien am Projekt nicht konkret und massgeblich beteiligt gewesen. Die eingesetzten Gesellschaften hätten keine eigene Bankverbindung gehabt. Auch eine Strategie bei der Investorensuche sei nicht erkennbar, obschon gemäss dem Beschwerdeführer ca. 200 Anleger erforderlich gewesen wären, um die Finanzierung sicherzustellen bzw. das Konzept zum Funktionieren zu bringen (Urteil E. 4.5.5 S. 14 f.).</w:t>
      </w:r>
    </w:p>
    <w:p>
      <w:r>
        <w:rPr>
          <w:b/>
        </w:rPr>
        <w:t>E. 1.3.3</w:t>
      </w:r>
    </w:p>
    <w:p>
      <w:r>
        <w:t>Der Beschwerdeführer bestreitet die der vorinstanzlichen Argumentation zugrunde liegenden Tatsachenfeststellung nicht. Er stellt nicht infrage, dass die H.________ Holding AG nicht gegründet wurde und die F.________ AG sowie die F.________ Services AG über keine eigenen finanziellen Mittel, keine eigenen Bankkonten, keine Angestellten und keine eigenen Büroräumlichkeiten verfügten. Er unternimmt auch keine Versuche, das von der Vorinstanz für nicht nachvollziehbar und unverständlich erklärte Geschäftsmodell zu erläutern. Sein Einwand beschränkt sich auf die nicht näher substanziierte Behauptung, er habe für die US F.________ Ltd. ein ähnliches Modell ausgearbeitet und erfolgreich umgesetzt. Damit vermag er keine Willkür darzutun.</w:t>
      </w:r>
    </w:p>
    <w:p>
      <w:r>
        <w:t>Hätte der Beschwerdeführer das Geschäftsmodell tatsächlich bereits erfolgreich erprobt, ist nicht ersichtlich, warum er im vorliegenden Verfahren nicht in der Lage war, dieses zu erklären. Auch würde dies nichts daran ändern, dass die involvierten Gesellschaften die notwendigen Mittel für dessen Umsetzung nicht besassen und keine konkreten Schritte in diese Richtung unternommen wurden. Hinzu kommt, dass sich den vom Beschwerdeführer eingereichten Unterlagen betreffend die US F.________ Ltd. nicht entnehmen lässt, ob diese in ihrer Geschäftstätigkeit tatsächlich erfolgreich war. Sodann fehlen Anhaltspunkte, dass deren Geschäftskonzept mit dem vorliegend zu beurteilenden identisch war (vgl. Urteil E. 4.5.7 S. 16). Die Vorinstanz durfte daher auf weitere Abklärungen zum Geschäftsmodell der US F.________ Ltd. verzichten (vgl. BGE 136 I 229 E. 5.3 ; 131 I 153 E. 3; je mit Hinweisen) und ohne Willkür davon ausgehen, die vom Beschwerdeführer gegenüber den Anlegern behaupteten Geschäfte seien weder geplant noch realisierbar gewesen, und er habe eine Schädigung der Anleger zumindest in Kauf genommen.</w:t>
      </w:r>
    </w:p>
    <w:p>
      <w:r>
        <w:rPr>
          <w:b/>
        </w:rPr>
        <w:t>E. 1.3.4</w:t>
      </w:r>
    </w:p>
    <w:p>
      <w:r>
        <w:t>Die vorinstanzlichen Ausführungen sind nicht widersprüchlich (vgl. Beschwerde Ziff. III. A. 1. d und Ziff. III. A. 2. d). Die Vorinstanz wirft dem Beschwerdeführer vor, er habe bei den Anlegern den wahrheitswidrigen Anschein erweckt, es werde ein Distributionsnetz mit 12'000 Agenten angestrebt. Entgegen dessen Behauptung stellt die Vorinstanz nicht fest, er habe tatsächlich auf ein solches Distributionsnetz hingesteuert. Sie beanstandet vielmehr, es sei keine eigentliche Strategie für die angebliche Investorensuche im grossen Rahmen erkennbar (Urteil E. 4.5.1 S. 11 f. und E. 4.5.5 S. 12).</w:t>
      </w:r>
    </w:p>
    <w:p>
      <w:r>
        <w:rPr>
          <w:b/>
        </w:rPr>
        <w:t>E. 1.4</w:t>
      </w:r>
    </w:p>
    <w:p>
      <w:r>
        <w:t>Die vorinstanzliche Sachverhaltsfeststellung ist nicht willkürlich.</w:t>
      </w:r>
    </w:p>
    <w:p>
      <w:r>
        <w:rPr>
          <w:b/>
        </w:rPr>
        <w:t>E. 2.1</w:t>
      </w:r>
    </w:p>
    <w:p>
      <w:r>
        <w:t>Der Beschwerdeführer macht geltend, das Qualifikationsmerkmal der Gewerbsmässigkeit von Art. 146 Abs. 2 StGB sei nicht erfüllt. Das von der Vorinstanz festgestellte system- und strategielose Vorgehen bei der Investorensuche schliesse eine gewerbsmässige Begehung des Betrugs aus.</w:t>
      </w:r>
    </w:p>
    <w:p>
      <w:r>
        <w:rPr>
          <w:b/>
        </w:rPr>
        <w:t>E. 2.2</w:t>
      </w:r>
    </w:p>
    <w:p>
      <w:r>
        <w:t>Den Tatbestand des Betrugs im Sinne von Art. 146 Abs. 1 StGB erfüllt u.a., wer in der Absicht, sich oder einen andern unrechtmässig zu bereichern, jemanden durch Vorspiegelung oder Unterdrückung von Tatsachen arglistig irreführt und so den Irrenden zu einem Verhalten bestimmt, wodurch dieser sich selbst oder einen andern am Vermögen schädigt. Handelt der Täter gewerbsmässig, so wird er mit Freiheitsstrafe bis zu zehn Jahren oder Geldstrafe nicht unter 90 Tagessätzen bestraft ( Art. 146 Abs. 2 StGB ).</w:t>
      </w:r>
    </w:p>
    <w:p>
      <w:r>
        <w:rPr>
          <w:b/>
        </w:rPr>
        <w:t>E. 2.3</w:t>
      </w:r>
    </w:p>
    <w:p>
      <w:r>
        <w:t>Gewerbsmässigkeit im Sinne von Art. 146 Abs. 1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 BGE 129 IV 188 E. 3.1.2; 119 IV 129 E. 3a; 116 IV 319 ).</w:t>
      </w:r>
    </w:p>
    <w:p>
      <w:r>
        <w:rPr>
          <w:b/>
        </w:rPr>
        <w:t>E. 2.4</w:t>
      </w:r>
    </w:p>
    <w:p>
      <w:r>
        <w:t>Die Vorinstanz erwägt, der Beschwerdeführer habe zur Täuschung der Anleger umfangreiche Vertragsdokumente erarbeitet, zwei inaktive Aktiengesellschaften gekauft und umfirmiert und sich bei einer Treuhandgesellschaft eingemietet. Auch wenn letztlich bloss fünf Betrugsfälle über einen Zeitraum von gut zehn Monaten zur Beurteilung stünden, ergebe sich aus dem vom Beschwerdeführer betriebenen Aufwand, dem jeweils gleichlautenden Lügengebäude und den erzielten Einkünften, dass er die deliktische Tätigkeit nach der Art eines Berufes ausgeübt habe. Die Deliktssumme betrage mehr als Fr. 80'0000.--, was auf den Deliktszeitraum von gut zehn Monaten bezogen ein monatliches Einkommen von durchschnittlich rund Fr. 8'000.-- ergebe. Der Beschwerdeführer habe selber eingestanden, ab dem von der Treuhandgesellschaft zur Verfügung gestellten Konto im Schnitt einen Lohn von Fr. 8'000.-- bezogen zu haben. Es sei nicht davon auszugehen, dass er im Tatzeitraum neben den deliktisch erlangten Einnahmen noch über legale Einkünfte in erheblichem Umfang verfügt habe oder von seinem Vermögen hätte leben können (Urteil E. 4.10.4 S. 23 f.). Die Vorinstanz bejaht unter diesen Umständen ein gewerbsmässiges Handeln zu Recht. Der Hinweis im angefochtenen Entscheid, der Beschwerdeführer sei bei der Suche nach der gemäss seinen Angaben für das Funktionieren des Konzepts erforderlichen Anzahl Anleger strukturlos bzw. zufällig und planlos vorgegangen (Urteil E. 4.5.5 S. 15), spricht nicht gegen die Gewerbsmässigkeit. Dass der Beschwerdeführer die Geschädigten systemlos anging, schliesst eine Subsumtion unter Art. 146 Abs. 2 StGB nicht aus. Seine Rüge ist unbegründet.</w:t>
      </w:r>
    </w:p>
    <w:p>
      <w:r>
        <w:rPr>
          <w:b/>
        </w:rPr>
        <w:t>E. 3</w:t>
      </w:r>
    </w:p>
    <w:p>
      <w:r>
        <w:t>Das Nichteintreten auf die Zivilforderungen begründet der Beschwerdeführer ausschliesslich mit dem beantragten Freispruch. Da es bei der Verurteilung bleibt, ist darauf nicht weiter einzugehen.</w:t>
      </w:r>
    </w:p>
    <w:p>
      <w:r>
        <w:rPr>
          <w:b/>
        </w:rPr>
        <w:t>E. 4</w:t>
      </w:r>
    </w:p>
    <w:p>
      <w:r>
        <w:t>Die Beschwerde ist abzuweisen, soweit darauf einzutreten ist. Das Gesuch des Beschwerdeführers um unentgeltliche Rechtspflege und Verbeiständung ist abzuweisen, da die Beschwerde aussichtslos war ( Art. 64 Abs. 1 und 2 BGG ). Den finanziellen Verhältnissen des Beschwerdeführers ist mit einer reduzierten Gerichtsgebühr Rechnung zu tragen ( Art. 65 Abs. 2 BGG ).</w:t>
      </w:r>
    </w:p>
    <w:p>
      <w:r>
        <w:t>Den Beschwerdegegnern 2-5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