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263/2009 vom 14. Juli 2009</w:t>
      </w:r>
    </w:p>
    <w:p>
      <w:r>
        <w:t>Bundesgericht, 2009-07-14, FR</w:t>
      </w:r>
    </w:p>
    <w:p>
      <w:r>
        <w:rPr>
          <w:b/>
        </w:rPr>
        <w:t xml:space="preserve">Quelle: </w:t>
      </w:r>
      <w:r>
        <w:t>https://mcp.opencaselaw.ch/entscheid/bger_6B_263_2009</w:t>
      </w:r>
    </w:p>
    <w:p>
      <w:r>
        <w:t>FR: TF 6B 263/2009 du 14 juillet 2009</w:t>
      </w:r>
    </w:p>
    <w:p>
      <w:r>
        <w:t>IT: TF 6B 263/2009 del 14 luglio 2009</w:t>
      </w:r>
    </w:p>
    <w:p>
      <w:pPr>
        <w:pStyle w:val="Heading2"/>
      </w:pPr>
      <w:r>
        <w:t>Regeste</w:t>
      </w:r>
    </w:p>
    <w:p>
      <w:r>
        <w:t>Lésions corporelles par négligence | Infractions</w:t>
      </w:r>
    </w:p>
    <w:p>
      <w:pPr>
        <w:pStyle w:val="Heading2"/>
      </w:pPr>
      <w:r>
        <w:t>Erwägungen</w:t>
      </w:r>
    </w:p>
    <w:p>
      <w:r>
        <w:rPr>
          <w:b/>
        </w:rPr>
        <w:t>E. 1</w:t>
      </w:r>
    </w:p>
    <w:p>
      <w:r>
        <w:t>Invoquant une violation des art. 125 CP , 31 al. 1, 36 al. 2 et 26 al. 1 LCR, le recourant soutient qu'il était au bénéfice de la priorité sur toute l'intersection, qu'il a usé des précautions commandées par les circonstances en circulant à une vitesse très réduite et en concentrant son attention sur les piétons et qu'il ne pouvait s'attendre à ce qu'un autre usager de la route, débiteur de la priorité à un signal stop, s'élançât au même moment que lui dans l'intersection.</w:t>
      </w:r>
    </w:p>
    <w:p>
      <w:r>
        <w:rPr>
          <w:b/>
        </w:rPr>
        <w:t>E. 1.1</w:t>
      </w:r>
    </w:p>
    <w:p>
      <w:r>
        <w:t>Le recourant a été reconnu coupable de lésions corporelles par négligence au sens de l' art. 125 CP . Selon cette disposition, celui qui, par négligence, aura fait subir à une personne une atteinte à l'intégrité corporelle ou à la santé sera, sur plainte, puni de l'emprisonnement ou de l'amende. L'al. 2 prévoit que si la lésion est grave, l'auteur sera poursuivi d'office. Selon l' art. 18 al. 3 CP , il y a négligence si, par une imprévoyance coupable, l'auteur a agi sans se rendre compte ou sans tenir compte des conséquences de son acte. L'imprévoyance est coupable quand l'auteur de l'acte n'a pas usé des précautions commandées par les circonstances et par sa situation personnelle.</w:t>
      </w:r>
    </w:p>
    <w:p>
      <w:r>
        <w:rPr>
          <w:b/>
        </w:rPr>
        <w:t>E. 1.1.1</w:t>
      </w:r>
    </w:p>
    <w:p>
      <w:r>
        <w:t>Pour qu'il y ait lésions corporelles par négligence, il faut tout d'abord que l'auteur ait violé les règles de la prudence que les circonstances lui imposaient pour ne pas excéder les limites du risque admissible et qu'il n'ait pas déployé l'attention et les efforts que l'on pouvait attendre de lui pour se conformer à son devoir ( ATF 129 IV 119 consid. 2.1 p. 121).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rPr>
          <w:b/>
        </w:rPr>
        <w:t>E. 1.1.2</w:t>
      </w:r>
    </w:p>
    <w:p>
      <w:r>
        <w:t>Chacun doit se conformer aux signaux et aux marques ainsi qu'aux ordres de la police ( art. 27 al. 1 LCR ; RS 741.1). Le signal "stop" oblige le conducteur à s'arrêter et à accorder la priorité aux véhicules circulant sur la route dont il s'approche ( art. 36 al. 1 OSR ; RS 741.21). L' art. 14 al. 1 OCR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soudain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 ATF 114 IV 146 ss). Aux intersections, le droit de priorité s'étend sur toute la surface de l'intersection des routes en cause, sous réserve de la présence de signaux et de marques ( ATF 116 IV 157 consid. 1 p. 158; 102 IV 259 ). Le débiteur de la priorité doit ainsi s'abstenir de gêner le conducteur prioritaire sur toute cette surface et, en particulier, pouvoir s'arrêter avant le début de l'intersection ( art. 14 al. 1 OCR ; ATF 116 IV 157 consid. 2 p. 158 s.). La notion d'intersection subsiste par rapport à un véhicule empruntant sans droit une voie de « bus » ( ATF 100 IV 83 consid. 1 p. 84 s.). Ainsi, selon cet arrêt, lorsqu'une voie de circulation comprend plusieurs pistes et que l'une d'elles est frappée d'une interdiction limitée de circuler par le fait qu'elle est réservée aux moyens de transport public, le conducteur obliquant à gauche qui veut traverser cette piste doit accorder la priorité aux véhicules qui viennent en sens inverse, même si ces véhicules n'ont pas le droit d'utiliser la piste réservée.</w:t>
      </w:r>
    </w:p>
    <w:p>
      <w:r>
        <w:rPr>
          <w:b/>
        </w:rPr>
        <w:t>E. 1.1.3</w:t>
      </w:r>
    </w:p>
    <w:p>
      <w:r>
        <w:t>Le principe de la confiance, déduit de l' art. 26 al. 1 LCR ,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 ATF 118 IV 277 consid. 4a p. 280; 104 IV 28 consid. 3 p. 30).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 ATF 120 IV 252 consid. 2d/aa p. 254; 100 IV 186 consid. 3 p. 189). Le conducteur qui doit attendre à une intersection peut aussi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Dans l'optique d'une règle de priorité claire, on ne peut toutefois admettre facilement que le débiteur de la priorité n'a pas à compter avec le passage, respectivement l'entrave d'un prioritaire ( ATF 120 IV 252 consid. 2d/aa p. 254).</w:t>
      </w:r>
    </w:p>
    <w:p>
      <w:r>
        <w:rPr>
          <w:b/>
        </w:rPr>
        <w:t>E. 1.2</w:t>
      </w:r>
    </w:p>
    <w:p>
      <w:r>
        <w:t>Selon la Chambre pénale, le recourant n'était pas attentif à la présence éventuelle d'autres véhicules sur la voie de circulation, ce qui l'a empêché de remarquer que la partie civile se trouvait sur sa gauche, au panneau de signalisation « stop ». S'il avait voué toute son attention à la circulation, il aurait vu que le plaignant avait passé l'intersection, après le panneau « stop », et avait pratiquement terminé sa traversée du carrefour. Le recourant aurait dû prendre des mesures de précaution supplémentaires et, le cas échéant, s'arrêter s'il ne pouvait concentrer son attention à la fois sur les piétons et la route. La Cour cantonale a encore insisté sur le fait que le point de choc démontrait de manière significative que l'intimé n'était plus débiteur de la priorité, puisqu'il avait pratiquement terminé la traversée de l'intersection. Cette argumentation ne saurait être suivie. En effet, selon la jurisprudence exposée ci-dessus, la partie civile devait avant tout se conformer au signal "stop". Elle devait donc s'arrêter et accorder la priorité aux véhicules circulant sur toute la surface de la route qu'elle avait à traverser. Ainsi, le raisonnement cantonal contrevient au principe énoncé ci-dessus et selon lequel le droit de priorité s'étend sur toute la surface de l'intersection et vaut également par rapport à un véhicule empruntant sans droit une voie réservée aux transports publics. Dans ces conditions, l'intimé demeurait débiteur de la priorité durant toute la traversée du carrefour, y compris au moment du heurt, lequel a eu lieu alors que ladite traversée n'était pas encore achevée. En retenant que le plaignant bénéficiait de la priorité ou n'était plus débiteur de celle-ci, puisqu'il avait pratiquement terminé la traversée de l'intersection, la Chambre pénale a violé l' art. 36 al. 2 LCR .</w:t>
      </w:r>
    </w:p>
    <w:p>
      <w:r>
        <w:rPr>
          <w:b/>
        </w:rPr>
        <w:t>E. 1.3</w:t>
      </w:r>
    </w:p>
    <w:p>
      <w:r>
        <w:t>Le recourant a certes invoqué qu'il effectuait une course d'urgence et qu'il était ainsi en droit d'emprunter les voies réservées à la circulation du tram, conformément aux instructions de service TPG. La Chambre pénale a toutefois estimé que cet élément n'était finalement pas déterminant, en ce sens qu'une éventuelle course d'urgence ne changeait en rien le devoir de prudence qui incombait au conducteur, soit celui de ne pas mettre en danger ceux qui utilisent la route conformément aux règles établies, moyennant en sus une vigilance accrue. Ce raisonnement tombe à faux, dès lors que le débiteur de la priorité était bien le scootériste et non pas le recourant (cf. supra consid. 1.2). Reste que le premier, qui devait attendre au signal « stop », pourrait éventuellement se prévaloir du principe de la confiance, si le trafic lui permettait de s'engager sans gêner un véhicule prioritaire. En effet, on ne saurait lui reprocher une violation du droit de priorité s'il devait malgré tout entraver la progression du prioritaire en raison du comportement imprévisible de ce dernier. Par conséquent, il appartient encore à l'autorité cantonale d'examiner la question de savoir si le comportement du recourant était à ce point imprévisible que l'intimé pût aussi se prévaloir du principe de la confiance.</w:t>
      </w:r>
    </w:p>
    <w:p>
      <w:r>
        <w:rPr>
          <w:b/>
        </w:rPr>
        <w:t>E. 2</w:t>
      </w:r>
    </w:p>
    <w:p>
      <w:r>
        <w:t>En conclusion, le recours est admis, le jugement attaqué annulé et la cause renvoyée à l'autorité cantonale pour qu'elle statue à nouveau dans le sens des considérants. Vu l'issue de la procédure, les frais judiciaires seront mis à la charge de l'intimé à raison de 1000 fr. et les dépens du recourant seront mis pour moitié à la charge de l'intimé et pour moitié à la charge du canton de Genève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